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D6919" w14:textId="77777777" w:rsidR="00CE49D8" w:rsidRDefault="003762A5">
      <w:pPr>
        <w:tabs>
          <w:tab w:val="left" w:pos="2694"/>
        </w:tabs>
        <w:autoSpaceDE w:val="0"/>
        <w:autoSpaceDN w:val="0"/>
        <w:adjustRightInd w:val="0"/>
        <w:spacing w:line="560" w:lineRule="exact"/>
        <w:ind w:firstLineChars="200" w:firstLine="880"/>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《城市感知体系</w:t>
      </w:r>
      <w:r>
        <w:rPr>
          <w:rFonts w:ascii="方正小标宋简体" w:eastAsia="方正小标宋简体" w:hAnsi="方正小标宋简体" w:cs="方正小标宋简体" w:hint="eastAsia"/>
          <w:bCs/>
          <w:kern w:val="0"/>
          <w:sz w:val="44"/>
          <w:szCs w:val="44"/>
        </w:rPr>
        <w:t xml:space="preserve"> </w:t>
      </w:r>
      <w:r>
        <w:rPr>
          <w:rFonts w:ascii="方正小标宋简体" w:eastAsia="方正小标宋简体" w:hAnsi="方正小标宋简体" w:cs="方正小标宋简体" w:hint="eastAsia"/>
          <w:bCs/>
          <w:kern w:val="0"/>
          <w:sz w:val="44"/>
          <w:szCs w:val="44"/>
        </w:rPr>
        <w:t>物模型要求》</w:t>
      </w:r>
    </w:p>
    <w:p w14:paraId="6CAA7C87" w14:textId="77777777" w:rsidR="00CE49D8" w:rsidRDefault="003762A5">
      <w:pPr>
        <w:autoSpaceDE w:val="0"/>
        <w:autoSpaceDN w:val="0"/>
        <w:adjustRightInd w:val="0"/>
        <w:spacing w:line="560" w:lineRule="exact"/>
        <w:ind w:firstLineChars="200" w:firstLine="880"/>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编制说明</w:t>
      </w:r>
    </w:p>
    <w:p w14:paraId="663B1DB1" w14:textId="77777777" w:rsidR="00CE49D8" w:rsidRDefault="003762A5">
      <w:pPr>
        <w:spacing w:line="560" w:lineRule="exact"/>
        <w:ind w:firstLineChars="200" w:firstLine="640"/>
        <w:outlineLvl w:val="0"/>
        <w:rPr>
          <w:rFonts w:ascii="仿宋_GB2312" w:eastAsia="仿宋_GB2312" w:hAnsi="仿宋_GB2312" w:cs="仿宋_GB2312"/>
          <w:b/>
          <w:sz w:val="32"/>
          <w:szCs w:val="32"/>
        </w:rPr>
      </w:pPr>
      <w:r>
        <w:rPr>
          <w:rFonts w:ascii="仿宋_GB2312" w:eastAsia="仿宋_GB2312" w:hAnsi="仿宋_GB2312" w:cs="仿宋_GB2312" w:hint="eastAsia"/>
          <w:b/>
          <w:sz w:val="32"/>
          <w:szCs w:val="32"/>
        </w:rPr>
        <w:t>一、工作简况</w:t>
      </w:r>
    </w:p>
    <w:p w14:paraId="34F600E2" w14:textId="77777777" w:rsidR="00CE49D8" w:rsidRDefault="003762A5">
      <w:pPr>
        <w:spacing w:line="560" w:lineRule="exact"/>
        <w:ind w:firstLineChars="200" w:firstLine="640"/>
        <w:outlineLvl w:val="1"/>
        <w:rPr>
          <w:rFonts w:ascii="楷体_GB2312" w:eastAsia="楷体_GB2312" w:hAnsi="楷体_GB2312" w:cs="楷体_GB2312"/>
          <w:b/>
          <w:sz w:val="32"/>
          <w:szCs w:val="32"/>
        </w:rPr>
      </w:pPr>
      <w:r>
        <w:rPr>
          <w:rFonts w:ascii="楷体_GB2312" w:eastAsia="楷体_GB2312" w:hAnsi="楷体_GB2312" w:cs="楷体_GB2312" w:hint="eastAsia"/>
          <w:b/>
          <w:sz w:val="32"/>
          <w:szCs w:val="32"/>
        </w:rPr>
        <w:t>（</w:t>
      </w:r>
      <w:r>
        <w:rPr>
          <w:rFonts w:ascii="楷体_GB2312" w:eastAsia="楷体_GB2312" w:hAnsi="楷体_GB2312" w:cs="楷体_GB2312" w:hint="eastAsia"/>
          <w:b/>
          <w:sz w:val="32"/>
          <w:szCs w:val="32"/>
        </w:rPr>
        <w:t>一</w:t>
      </w:r>
      <w:r>
        <w:rPr>
          <w:rFonts w:ascii="楷体_GB2312" w:eastAsia="楷体_GB2312" w:hAnsi="楷体_GB2312" w:cs="楷体_GB2312" w:hint="eastAsia"/>
          <w:b/>
          <w:sz w:val="32"/>
          <w:szCs w:val="32"/>
        </w:rPr>
        <w:t>）</w:t>
      </w:r>
      <w:r>
        <w:rPr>
          <w:rFonts w:ascii="楷体_GB2312" w:eastAsia="楷体_GB2312" w:hAnsi="楷体_GB2312" w:cs="楷体_GB2312" w:hint="eastAsia"/>
          <w:b/>
          <w:sz w:val="32"/>
          <w:szCs w:val="32"/>
        </w:rPr>
        <w:t>任务来源</w:t>
      </w:r>
    </w:p>
    <w:p w14:paraId="31B6672A" w14:textId="77777777" w:rsidR="00CE49D8" w:rsidRDefault="003762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为贯彻落实《粤港澳大湾区发展规划纲要》《国家标准化发展纲要》以及《贯彻实施</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国家标准化发展纲要</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行动计划》有关要求，省市场监督管理局大力推进“湾区标准”体系建设工作，将该项工作列入《广东省市场监管现代化“十四五”规划》。智慧城市</w:t>
      </w:r>
      <w:r>
        <w:rPr>
          <w:rFonts w:ascii="仿宋_GB2312" w:eastAsia="仿宋_GB2312" w:hAnsi="仿宋_GB2312" w:cs="仿宋_GB2312" w:hint="eastAsia"/>
          <w:sz w:val="32"/>
          <w:szCs w:val="32"/>
        </w:rPr>
        <w:t>建设是</w:t>
      </w:r>
      <w:r>
        <w:rPr>
          <w:rFonts w:ascii="仿宋_GB2312" w:eastAsia="仿宋_GB2312" w:hAnsi="仿宋_GB2312" w:cs="仿宋_GB2312" w:hint="eastAsia"/>
          <w:sz w:val="32"/>
          <w:szCs w:val="32"/>
        </w:rPr>
        <w:t>推进新型城镇化、提升城市治理水平、发展数字经济的战略</w:t>
      </w:r>
      <w:r>
        <w:rPr>
          <w:rFonts w:ascii="仿宋_GB2312" w:eastAsia="仿宋_GB2312" w:hAnsi="仿宋_GB2312" w:cs="仿宋_GB2312" w:hint="eastAsia"/>
          <w:sz w:val="32"/>
          <w:szCs w:val="32"/>
        </w:rPr>
        <w:t>举措</w:t>
      </w:r>
      <w:r>
        <w:rPr>
          <w:rFonts w:ascii="仿宋_GB2312" w:eastAsia="仿宋_GB2312" w:hAnsi="仿宋_GB2312" w:cs="仿宋_GB2312" w:hint="eastAsia"/>
          <w:sz w:val="32"/>
          <w:szCs w:val="32"/>
        </w:rPr>
        <w:t>。习近平总书记高度重视智慧城市建设，多次对智慧城市发展做出重要指示。</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日，习近平总书记在政治局集体学习中强调，“以推行电子政务、建设新型智慧城市等为抓手，以数据集中和共享为途径，建设全国一体化的国家大数据中</w:t>
      </w:r>
      <w:r>
        <w:rPr>
          <w:rFonts w:ascii="仿宋_GB2312" w:eastAsia="仿宋_GB2312" w:hAnsi="仿宋_GB2312" w:cs="仿宋_GB2312" w:hint="eastAsia"/>
          <w:sz w:val="32"/>
          <w:szCs w:val="32"/>
        </w:rPr>
        <w:t>心，推进技术融合、业务融合、数据融合，实现跨层级、跨地域、跨系统、跨部门、跨业务的协同管理和服务。</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日，习近平总书记指出“推进智慧城市建设，促进人工智能在公共安全领域的深度应用，加强生态领域人工智能运用，运用人工智能提高公共服务和社会治理水平。”</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日，习近平总书记指出“要推动区块链底层技术服务和新型智慧城市建设相结合，探索在信息基础设施、智慧交通、能源电力等领域的推广应用，提升城市管理的智能化、精准化水平。”</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日，习近平总书记在杭州城市大脑运营指挥中心观看</w:t>
      </w:r>
      <w:r>
        <w:rPr>
          <w:rFonts w:ascii="仿宋_GB2312" w:eastAsia="仿宋_GB2312" w:hAnsi="仿宋_GB2312" w:cs="仿宋_GB2312" w:hint="eastAsia"/>
          <w:sz w:val="32"/>
          <w:szCs w:val="32"/>
        </w:rPr>
        <w:t>“数字杭州”建设情况，指出“从信息化到智能化再到智慧化，是建设智慧城市的必由之路，前景广阔。”</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年，党的二十大报告指出，“加强城市基础设施建设，打造宜居、韧性、智慧城市”。</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月，习近平总书</w:t>
      </w:r>
      <w:r>
        <w:rPr>
          <w:rFonts w:ascii="仿宋_GB2312" w:eastAsia="仿宋_GB2312" w:hAnsi="仿宋_GB2312" w:cs="仿宋_GB2312" w:hint="eastAsia"/>
          <w:sz w:val="32"/>
          <w:szCs w:val="32"/>
        </w:rPr>
        <w:lastRenderedPageBreak/>
        <w:t>记在上海考察时指出，“在城市规划和执行上坚持一张蓝图绘到底，加快城市数字化转型”。</w:t>
      </w:r>
    </w:p>
    <w:p w14:paraId="3570FCD0" w14:textId="77777777" w:rsidR="00CE49D8" w:rsidRDefault="003762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日，国家发展改革委、国家数据局、财政部、自然资源部联合发布《关于深化智慧城市发展</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推进城市全域数字化转型的指导意见》（发改数据〔</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660</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明确要求“</w:t>
      </w:r>
      <w:r>
        <w:rPr>
          <w:rFonts w:ascii="仿宋_GB2312" w:eastAsia="仿宋_GB2312" w:hAnsi="仿宋_GB2312" w:cs="仿宋_GB2312" w:hint="eastAsia"/>
          <w:b/>
          <w:bCs/>
          <w:sz w:val="32"/>
          <w:szCs w:val="32"/>
        </w:rPr>
        <w:t>完善城市运行管理服务平台，深化“一网统管”建</w:t>
      </w:r>
      <w:r>
        <w:rPr>
          <w:rFonts w:ascii="仿宋_GB2312" w:eastAsia="仿宋_GB2312" w:hAnsi="仿宋_GB2312" w:cs="仿宋_GB2312" w:hint="eastAsia"/>
          <w:b/>
          <w:bCs/>
          <w:sz w:val="32"/>
          <w:szCs w:val="32"/>
        </w:rPr>
        <w:t>设，推动城市规划、建设、管理、运维全过程各环节数据融通，加强城市生命体征监测，推动城市体检与城市更新数据赋能、业务联动。依托城市运行和治理智能中枢等，整合状态感知、建模分析、城市运行、应急指挥等功能，聚合公共安全、规划建设、城市管理、应急通信、交通管理、市场监管、生态环境、民情感知等领域，实现态势全面感知、趋势智能研判、协同高效处置、调度敏捷响应、平急快速切换。</w:t>
      </w:r>
      <w:r>
        <w:rPr>
          <w:rFonts w:ascii="仿宋_GB2312" w:eastAsia="仿宋_GB2312" w:hAnsi="仿宋_GB2312" w:cs="仿宋_GB2312" w:hint="eastAsia"/>
          <w:sz w:val="32"/>
          <w:szCs w:val="32"/>
        </w:rPr>
        <w:t>”</w:t>
      </w:r>
    </w:p>
    <w:p w14:paraId="471DCD4C" w14:textId="77777777" w:rsidR="00CE49D8" w:rsidRDefault="003762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城市感知体系是感知城市状态的“五官”和数据产生的源头，城市感知体系数据融通是开展智能城市建设的前提和发展数字经济的基础。通过集聚深港澳三地在城市感知体系数据融通方面的优势和好做法，规范</w:t>
      </w:r>
      <w:r>
        <w:rPr>
          <w:rFonts w:ascii="仿宋_GB2312" w:eastAsia="仿宋_GB2312" w:hAnsi="仿宋_GB2312" w:cs="仿宋_GB2312" w:hint="eastAsia"/>
          <w:sz w:val="32"/>
          <w:szCs w:val="32"/>
        </w:rPr>
        <w:t>城市感知体系</w:t>
      </w:r>
      <w:r>
        <w:rPr>
          <w:rFonts w:ascii="仿宋_GB2312" w:eastAsia="仿宋_GB2312" w:hAnsi="仿宋_GB2312" w:cs="仿宋_GB2312" w:hint="eastAsia"/>
          <w:sz w:val="32"/>
          <w:szCs w:val="32"/>
        </w:rPr>
        <w:t>统一</w:t>
      </w:r>
      <w:r>
        <w:rPr>
          <w:rFonts w:ascii="仿宋_GB2312" w:eastAsia="仿宋_GB2312" w:hAnsi="仿宋_GB2312" w:cs="仿宋_GB2312" w:hint="eastAsia"/>
          <w:sz w:val="32"/>
          <w:szCs w:val="32"/>
        </w:rPr>
        <w:t>物模型</w:t>
      </w:r>
      <w:r>
        <w:rPr>
          <w:rFonts w:ascii="仿宋_GB2312" w:eastAsia="仿宋_GB2312" w:hAnsi="仿宋_GB2312" w:cs="仿宋_GB2312" w:hint="eastAsia"/>
          <w:sz w:val="32"/>
          <w:szCs w:val="32"/>
        </w:rPr>
        <w:t>技术要求，这在粤港澳大湾区战略和协同发展的大背景下，对深入推进粤港澳大湾区智慧城市建设具有非常明显的现实意义。结合“湾区标准”研制计划，本课题由</w:t>
      </w:r>
      <w:r>
        <w:rPr>
          <w:rFonts w:ascii="仿宋_GB2312" w:eastAsia="仿宋_GB2312" w:hAnsi="仿宋_GB2312" w:cs="仿宋_GB2312" w:hint="eastAsia"/>
          <w:sz w:val="32"/>
          <w:szCs w:val="32"/>
        </w:rPr>
        <w:t>华为技术有限公司</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深圳市标准技术研究院</w:t>
      </w:r>
      <w:r>
        <w:rPr>
          <w:rFonts w:ascii="仿宋_GB2312" w:eastAsia="仿宋_GB2312" w:hAnsi="仿宋_GB2312" w:cs="仿宋_GB2312" w:hint="eastAsia"/>
          <w:sz w:val="32"/>
          <w:szCs w:val="32"/>
        </w:rPr>
        <w:t>提出，由智慧城市产业生态圈、深圳市物联网产业协会于</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月联合立项。</w:t>
      </w:r>
    </w:p>
    <w:p w14:paraId="7B0665AE" w14:textId="77777777" w:rsidR="00CE49D8" w:rsidRDefault="003762A5">
      <w:pPr>
        <w:spacing w:line="560" w:lineRule="exact"/>
        <w:ind w:firstLineChars="200" w:firstLine="640"/>
        <w:outlineLvl w:val="1"/>
        <w:rPr>
          <w:rFonts w:ascii="楷体_GB2312" w:eastAsia="楷体_GB2312" w:hAnsi="楷体_GB2312" w:cs="楷体_GB2312"/>
          <w:b/>
          <w:sz w:val="32"/>
          <w:szCs w:val="32"/>
        </w:rPr>
      </w:pPr>
      <w:r>
        <w:rPr>
          <w:rFonts w:ascii="楷体_GB2312" w:eastAsia="楷体_GB2312" w:hAnsi="楷体_GB2312" w:cs="楷体_GB2312" w:hint="eastAsia"/>
          <w:b/>
          <w:sz w:val="32"/>
          <w:szCs w:val="32"/>
        </w:rPr>
        <w:t>（二）起草单位及分工</w:t>
      </w:r>
    </w:p>
    <w:p w14:paraId="3B92FA19" w14:textId="77777777" w:rsidR="00CE49D8" w:rsidRDefault="003762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本标准由华为技术有限公司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深圳市标准技术研究院、成都智慧城市信息技术有限公司、中国电子技术标准化研究院、深圳国家高技术产业创新中心、杭州叙简科技股份有限公司、广州欣纬智慧安全科</w:t>
      </w:r>
      <w:r>
        <w:rPr>
          <w:rFonts w:ascii="仿宋_GB2312" w:eastAsia="仿宋_GB2312" w:hAnsi="仿宋_GB2312" w:cs="仿宋_GB2312" w:hint="eastAsia"/>
          <w:sz w:val="32"/>
          <w:szCs w:val="32"/>
        </w:rPr>
        <w:lastRenderedPageBreak/>
        <w:t>技有限公司、深圳星网信通科技股份有限公司、奥泰尔科技有限公司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香港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、龙杰科技有限公司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香港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、数字城方产业生态联盟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香港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、中国物联网控股有限公司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香港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、澳门科技大学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澳门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、炎黄集团有限公司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澳门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家机构组成起草工作组，具体编制分工如下表所示</w:t>
      </w:r>
      <w:r>
        <w:rPr>
          <w:rFonts w:ascii="仿宋_GB2312" w:eastAsia="仿宋_GB2312" w:hAnsi="仿宋_GB2312" w:cs="仿宋_GB2312" w:hint="eastAsia"/>
          <w:sz w:val="32"/>
          <w:szCs w:val="32"/>
        </w:rPr>
        <w:t>。</w:t>
      </w:r>
    </w:p>
    <w:tbl>
      <w:tblPr>
        <w:tblStyle w:val="afa"/>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567"/>
        <w:gridCol w:w="6395"/>
      </w:tblGrid>
      <w:tr w:rsidR="00CE49D8" w14:paraId="1013F1BA" w14:textId="77777777">
        <w:tc>
          <w:tcPr>
            <w:tcW w:w="3567" w:type="dxa"/>
            <w:tcBorders>
              <w:tl2br w:val="nil"/>
              <w:tr2bl w:val="nil"/>
            </w:tcBorders>
          </w:tcPr>
          <w:p w14:paraId="75BF2E52" w14:textId="77777777" w:rsidR="00CE49D8" w:rsidRDefault="003762A5">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任务划分</w:t>
            </w:r>
          </w:p>
        </w:tc>
        <w:tc>
          <w:tcPr>
            <w:tcW w:w="6395" w:type="dxa"/>
            <w:tcBorders>
              <w:tl2br w:val="nil"/>
              <w:tr2bl w:val="nil"/>
            </w:tcBorders>
          </w:tcPr>
          <w:p w14:paraId="6DC6E134" w14:textId="77777777" w:rsidR="00CE49D8" w:rsidRDefault="003762A5">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编制单位</w:t>
            </w:r>
          </w:p>
        </w:tc>
      </w:tr>
      <w:tr w:rsidR="00CE49D8" w14:paraId="1325C9E4" w14:textId="77777777">
        <w:tc>
          <w:tcPr>
            <w:tcW w:w="3567" w:type="dxa"/>
            <w:tcBorders>
              <w:tl2br w:val="nil"/>
              <w:tr2bl w:val="nil"/>
            </w:tcBorders>
          </w:tcPr>
          <w:p w14:paraId="615245F1" w14:textId="77777777" w:rsidR="00CE49D8" w:rsidRDefault="003762A5">
            <w:pPr>
              <w:rPr>
                <w:rFonts w:ascii="Times New Roman" w:eastAsia="方正仿宋简体" w:hAnsi="Times New Roman" w:cs="Times New Roman"/>
                <w:kern w:val="0"/>
                <w:sz w:val="28"/>
                <w:szCs w:val="28"/>
              </w:rPr>
            </w:pPr>
            <w:r>
              <w:rPr>
                <w:rFonts w:ascii="仿宋_GB2312" w:eastAsia="仿宋_GB2312" w:hAnsi="仿宋_GB2312" w:cs="仿宋_GB2312" w:hint="eastAsia"/>
                <w:sz w:val="32"/>
                <w:szCs w:val="32"/>
              </w:rPr>
              <w:t>标准立项、标准执行协调、标准研制实施方案、标准大纲、标准目标与编制原则起草</w:t>
            </w:r>
          </w:p>
        </w:tc>
        <w:tc>
          <w:tcPr>
            <w:tcW w:w="6395" w:type="dxa"/>
            <w:tcBorders>
              <w:tl2br w:val="nil"/>
              <w:tr2bl w:val="nil"/>
            </w:tcBorders>
          </w:tcPr>
          <w:p w14:paraId="52254424" w14:textId="77777777" w:rsidR="00CE49D8" w:rsidRDefault="003762A5">
            <w:pPr>
              <w:rPr>
                <w:rFonts w:ascii="Times New Roman" w:eastAsia="方正仿宋简体" w:hAnsi="Times New Roman" w:cs="Times New Roman"/>
                <w:kern w:val="0"/>
                <w:sz w:val="28"/>
                <w:szCs w:val="28"/>
              </w:rPr>
            </w:pPr>
            <w:r>
              <w:rPr>
                <w:rFonts w:ascii="仿宋_GB2312" w:eastAsia="仿宋_GB2312" w:hAnsi="仿宋_GB2312" w:cs="仿宋_GB2312" w:hint="eastAsia"/>
                <w:sz w:val="32"/>
                <w:szCs w:val="32"/>
              </w:rPr>
              <w:t>华为技术有限公司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深圳市标准技术研究院</w:t>
            </w:r>
          </w:p>
        </w:tc>
      </w:tr>
      <w:tr w:rsidR="00CE49D8" w14:paraId="530A9356" w14:textId="77777777">
        <w:tc>
          <w:tcPr>
            <w:tcW w:w="3567" w:type="dxa"/>
            <w:tcBorders>
              <w:tl2br w:val="nil"/>
              <w:tr2bl w:val="nil"/>
            </w:tcBorders>
          </w:tcPr>
          <w:p w14:paraId="78E01A94" w14:textId="77777777" w:rsidR="00CE49D8" w:rsidRDefault="003762A5">
            <w:pPr>
              <w:rPr>
                <w:rFonts w:ascii="Times New Roman" w:eastAsia="方正仿宋简体" w:hAnsi="Times New Roman" w:cs="Times New Roman"/>
                <w:kern w:val="0"/>
                <w:sz w:val="28"/>
                <w:szCs w:val="28"/>
              </w:rPr>
            </w:pPr>
            <w:r>
              <w:rPr>
                <w:rFonts w:ascii="仿宋_GB2312" w:eastAsia="仿宋_GB2312" w:hAnsi="仿宋_GB2312" w:cs="仿宋_GB2312" w:hint="eastAsia"/>
                <w:sz w:val="32"/>
                <w:szCs w:val="32"/>
              </w:rPr>
              <w:t>物模型技术要求内容编制</w:t>
            </w:r>
          </w:p>
        </w:tc>
        <w:tc>
          <w:tcPr>
            <w:tcW w:w="6395" w:type="dxa"/>
            <w:tcBorders>
              <w:tl2br w:val="nil"/>
              <w:tr2bl w:val="nil"/>
            </w:tcBorders>
          </w:tcPr>
          <w:p w14:paraId="2A9EE9D9" w14:textId="77777777" w:rsidR="00CE49D8" w:rsidRDefault="003762A5">
            <w:pPr>
              <w:rPr>
                <w:rFonts w:ascii="仿宋_GB2312" w:eastAsia="仿宋_GB2312" w:hAnsi="仿宋_GB2312" w:cs="仿宋_GB2312"/>
                <w:sz w:val="32"/>
                <w:szCs w:val="32"/>
              </w:rPr>
            </w:pPr>
            <w:r>
              <w:rPr>
                <w:rFonts w:ascii="仿宋_GB2312" w:eastAsia="仿宋_GB2312" w:hAnsi="仿宋_GB2312" w:cs="仿宋_GB2312" w:hint="eastAsia"/>
                <w:sz w:val="32"/>
                <w:szCs w:val="32"/>
              </w:rPr>
              <w:t>成都智慧城市信息技术有限公司、中国电子技术标准化研究院、深圳国家高技术产业创新中心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杭州叙简科技股份有限公司、广州欣纬智慧安全科技有限公司、深圳星网信通科技股份有限公司</w:t>
            </w:r>
            <w:r>
              <w:rPr>
                <w:rFonts w:ascii="仿宋_GB2312" w:eastAsia="仿宋_GB2312" w:hAnsi="仿宋_GB2312" w:cs="仿宋_GB2312" w:hint="eastAsia"/>
                <w:sz w:val="32"/>
                <w:szCs w:val="32"/>
              </w:rPr>
              <w:t>、奥泰尔科技有限公司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香港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、龙杰科技有限公司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香港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、数字城方产业生态联盟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香港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、中国物联网控股有限公司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香港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、澳门科技大学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澳门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、炎黄集团有限公司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澳门</w:t>
            </w:r>
            <w:r>
              <w:rPr>
                <w:rFonts w:ascii="仿宋_GB2312" w:eastAsia="仿宋_GB2312" w:hAnsi="仿宋_GB2312" w:cs="仿宋_GB2312" w:hint="eastAsia"/>
                <w:sz w:val="32"/>
                <w:szCs w:val="32"/>
              </w:rPr>
              <w:t>)</w:t>
            </w:r>
          </w:p>
        </w:tc>
      </w:tr>
    </w:tbl>
    <w:p w14:paraId="793B4E9C" w14:textId="77777777" w:rsidR="00CE49D8" w:rsidRDefault="003762A5">
      <w:pPr>
        <w:pStyle w:val="af7"/>
        <w:spacing w:before="0" w:after="0" w:line="560" w:lineRule="exact"/>
        <w:ind w:firstLineChars="200" w:firstLine="640"/>
        <w:rPr>
          <w:rFonts w:ascii="黑体" w:eastAsia="黑体" w:hAnsi="黑体" w:cs="黑体"/>
          <w:b w:val="0"/>
          <w:bCs w:val="0"/>
        </w:rPr>
      </w:pPr>
      <w:r>
        <w:rPr>
          <w:rFonts w:ascii="黑体" w:eastAsia="黑体" w:hAnsi="黑体" w:cs="黑体" w:hint="eastAsia"/>
          <w:b w:val="0"/>
          <w:bCs w:val="0"/>
        </w:rPr>
        <w:t>二、</w:t>
      </w:r>
      <w:r>
        <w:rPr>
          <w:rFonts w:ascii="黑体" w:eastAsia="黑体" w:hAnsi="黑体" w:cs="黑体" w:hint="eastAsia"/>
          <w:b w:val="0"/>
          <w:bCs w:val="0"/>
        </w:rPr>
        <w:t>标准立项的必要性，拟解决的问题</w:t>
      </w:r>
    </w:p>
    <w:p w14:paraId="4C0E4A84" w14:textId="77777777" w:rsidR="00CE49D8" w:rsidRDefault="003762A5">
      <w:pPr>
        <w:spacing w:line="560" w:lineRule="exact"/>
        <w:ind w:firstLineChars="200" w:firstLine="640"/>
        <w:outlineLvl w:val="1"/>
        <w:rPr>
          <w:rFonts w:ascii="楷体_GB2312" w:eastAsia="楷体_GB2312" w:hAnsi="楷体_GB2312" w:cs="楷体_GB2312"/>
          <w:b/>
          <w:sz w:val="32"/>
          <w:szCs w:val="32"/>
        </w:rPr>
      </w:pPr>
      <w:r>
        <w:rPr>
          <w:rFonts w:ascii="楷体_GB2312" w:eastAsia="楷体_GB2312" w:hAnsi="楷体_GB2312" w:cs="楷体_GB2312" w:hint="eastAsia"/>
          <w:b/>
          <w:sz w:val="32"/>
          <w:szCs w:val="32"/>
        </w:rPr>
        <w:t>（一）立项的必要性</w:t>
      </w:r>
    </w:p>
    <w:p w14:paraId="6EE4670F" w14:textId="77777777" w:rsidR="00CE49D8" w:rsidRDefault="003762A5">
      <w:pPr>
        <w:pStyle w:val="2"/>
        <w:spacing w:before="0" w:after="0" w:line="560" w:lineRule="exact"/>
        <w:ind w:firstLineChars="200" w:firstLine="640"/>
        <w:rPr>
          <w:rFonts w:ascii="仿宋_GB2312" w:eastAsia="仿宋_GB2312" w:hAnsi="仿宋_GB2312" w:cs="仿宋_GB2312"/>
          <w:b w:val="0"/>
          <w:bCs w:val="0"/>
        </w:rPr>
      </w:pPr>
      <w:r>
        <w:rPr>
          <w:rFonts w:ascii="仿宋_GB2312" w:eastAsia="仿宋_GB2312" w:hAnsi="仿宋_GB2312" w:cs="仿宋_GB2312" w:hint="eastAsia"/>
        </w:rPr>
        <w:lastRenderedPageBreak/>
        <w:t>我国智慧城市建设进入全域数智化转型新阶段</w:t>
      </w:r>
      <w:r>
        <w:rPr>
          <w:rFonts w:ascii="仿宋_GB2312" w:eastAsia="仿宋_GB2312" w:hAnsi="仿宋_GB2312" w:cs="仿宋_GB2312" w:hint="eastAsia"/>
        </w:rPr>
        <w:t>，智慧城市建设开启体系重构、质效提升新篇章。</w:t>
      </w:r>
      <w:r>
        <w:rPr>
          <w:rFonts w:ascii="仿宋_GB2312" w:eastAsia="仿宋_GB2312" w:hAnsi="仿宋_GB2312" w:cs="仿宋_GB2312" w:hint="eastAsia"/>
          <w:b w:val="0"/>
          <w:bCs w:val="0"/>
        </w:rPr>
        <w:t>2014</w:t>
      </w:r>
      <w:r>
        <w:rPr>
          <w:rFonts w:ascii="仿宋_GB2312" w:eastAsia="仿宋_GB2312" w:hAnsi="仿宋_GB2312" w:cs="仿宋_GB2312" w:hint="eastAsia"/>
          <w:b w:val="0"/>
          <w:bCs w:val="0"/>
        </w:rPr>
        <w:t>年</w:t>
      </w:r>
      <w:r>
        <w:rPr>
          <w:rFonts w:ascii="仿宋_GB2312" w:eastAsia="仿宋_GB2312" w:hAnsi="仿宋_GB2312" w:cs="仿宋_GB2312" w:hint="eastAsia"/>
          <w:b w:val="0"/>
          <w:bCs w:val="0"/>
        </w:rPr>
        <w:t>8</w:t>
      </w:r>
      <w:r>
        <w:rPr>
          <w:rFonts w:ascii="仿宋_GB2312" w:eastAsia="仿宋_GB2312" w:hAnsi="仿宋_GB2312" w:cs="仿宋_GB2312" w:hint="eastAsia"/>
          <w:b w:val="0"/>
          <w:bCs w:val="0"/>
        </w:rPr>
        <w:t>月</w:t>
      </w:r>
      <w:r>
        <w:rPr>
          <w:rFonts w:ascii="仿宋_GB2312" w:eastAsia="仿宋_GB2312" w:hAnsi="仿宋_GB2312" w:cs="仿宋_GB2312" w:hint="eastAsia"/>
          <w:b w:val="0"/>
          <w:bCs w:val="0"/>
        </w:rPr>
        <w:t>，国家发展改革委等八部委联合印发了《关于促进智慧城市健康发展的指导意见》</w:t>
      </w:r>
      <w:r>
        <w:rPr>
          <w:rFonts w:ascii="仿宋_GB2312" w:eastAsia="仿宋_GB2312" w:hAnsi="仿宋_GB2312" w:cs="仿宋_GB2312" w:hint="eastAsia"/>
          <w:b w:val="0"/>
          <w:bCs w:val="0"/>
        </w:rPr>
        <w:t>(</w:t>
      </w:r>
      <w:r>
        <w:rPr>
          <w:rFonts w:ascii="仿宋_GB2312" w:eastAsia="仿宋_GB2312" w:hAnsi="仿宋_GB2312" w:cs="仿宋_GB2312" w:hint="eastAsia"/>
          <w:b w:val="0"/>
          <w:bCs w:val="0"/>
        </w:rPr>
        <w:t>发改高技〔</w:t>
      </w:r>
      <w:r>
        <w:rPr>
          <w:rFonts w:ascii="仿宋_GB2312" w:eastAsia="仿宋_GB2312" w:hAnsi="仿宋_GB2312" w:cs="仿宋_GB2312" w:hint="eastAsia"/>
          <w:b w:val="0"/>
          <w:bCs w:val="0"/>
        </w:rPr>
        <w:t>20</w:t>
      </w:r>
      <w:r>
        <w:rPr>
          <w:rFonts w:ascii="仿宋_GB2312" w:eastAsia="仿宋_GB2312" w:hAnsi="仿宋_GB2312" w:cs="仿宋_GB2312" w:hint="eastAsia"/>
          <w:b w:val="0"/>
          <w:bCs w:val="0"/>
        </w:rPr>
        <w:t>1</w:t>
      </w:r>
      <w:r>
        <w:rPr>
          <w:rFonts w:ascii="仿宋_GB2312" w:eastAsia="仿宋_GB2312" w:hAnsi="仿宋_GB2312" w:cs="仿宋_GB2312" w:hint="eastAsia"/>
          <w:b w:val="0"/>
          <w:bCs w:val="0"/>
        </w:rPr>
        <w:t>4</w:t>
      </w:r>
      <w:r>
        <w:rPr>
          <w:rFonts w:ascii="仿宋_GB2312" w:eastAsia="仿宋_GB2312" w:hAnsi="仿宋_GB2312" w:cs="仿宋_GB2312" w:hint="eastAsia"/>
          <w:b w:val="0"/>
          <w:bCs w:val="0"/>
        </w:rPr>
        <w:t>〕</w:t>
      </w:r>
      <w:r>
        <w:rPr>
          <w:rFonts w:ascii="仿宋_GB2312" w:eastAsia="仿宋_GB2312" w:hAnsi="仿宋_GB2312" w:cs="仿宋_GB2312" w:hint="eastAsia"/>
          <w:b w:val="0"/>
          <w:bCs w:val="0"/>
        </w:rPr>
        <w:t>1770</w:t>
      </w:r>
      <w:r>
        <w:rPr>
          <w:rFonts w:ascii="仿宋_GB2312" w:eastAsia="仿宋_GB2312" w:hAnsi="仿宋_GB2312" w:cs="仿宋_GB2312" w:hint="eastAsia"/>
          <w:b w:val="0"/>
          <w:bCs w:val="0"/>
        </w:rPr>
        <w:t>号</w:t>
      </w:r>
      <w:r>
        <w:rPr>
          <w:rFonts w:ascii="仿宋_GB2312" w:eastAsia="仿宋_GB2312" w:hAnsi="仿宋_GB2312" w:cs="仿宋_GB2312" w:hint="eastAsia"/>
          <w:b w:val="0"/>
          <w:bCs w:val="0"/>
        </w:rPr>
        <w:t>)</w:t>
      </w:r>
      <w:r>
        <w:rPr>
          <w:rFonts w:ascii="仿宋_GB2312" w:eastAsia="仿宋_GB2312" w:hAnsi="仿宋_GB2312" w:cs="仿宋_GB2312" w:hint="eastAsia"/>
          <w:b w:val="0"/>
          <w:bCs w:val="0"/>
        </w:rPr>
        <w:t>，旨在解决当时我国智慧城市建设缺乏顶层设计和统筹规划、体制机制创新滞后、网络安全隐患和风险突出等问题，对规范和推动我国智慧城市健康发展起到了关键作用。</w:t>
      </w:r>
      <w:r>
        <w:rPr>
          <w:rFonts w:ascii="仿宋_GB2312" w:eastAsia="仿宋_GB2312" w:hAnsi="仿宋_GB2312" w:cs="仿宋_GB2312" w:hint="eastAsia"/>
          <w:b w:val="0"/>
          <w:bCs w:val="0"/>
        </w:rPr>
        <w:t>2024</w:t>
      </w:r>
      <w:r>
        <w:rPr>
          <w:rFonts w:ascii="仿宋_GB2312" w:eastAsia="仿宋_GB2312" w:hAnsi="仿宋_GB2312" w:cs="仿宋_GB2312" w:hint="eastAsia"/>
          <w:b w:val="0"/>
          <w:bCs w:val="0"/>
        </w:rPr>
        <w:t>年</w:t>
      </w:r>
      <w:r>
        <w:rPr>
          <w:rFonts w:ascii="仿宋_GB2312" w:eastAsia="仿宋_GB2312" w:hAnsi="仿宋_GB2312" w:cs="仿宋_GB2312" w:hint="eastAsia"/>
          <w:b w:val="0"/>
          <w:bCs w:val="0"/>
        </w:rPr>
        <w:t>5</w:t>
      </w:r>
      <w:r>
        <w:rPr>
          <w:rFonts w:ascii="仿宋_GB2312" w:eastAsia="仿宋_GB2312" w:hAnsi="仿宋_GB2312" w:cs="仿宋_GB2312" w:hint="eastAsia"/>
          <w:b w:val="0"/>
          <w:bCs w:val="0"/>
        </w:rPr>
        <w:t>月</w:t>
      </w:r>
      <w:r>
        <w:rPr>
          <w:rFonts w:ascii="仿宋_GB2312" w:eastAsia="仿宋_GB2312" w:hAnsi="仿宋_GB2312" w:cs="仿宋_GB2312" w:hint="eastAsia"/>
          <w:b w:val="0"/>
          <w:bCs w:val="0"/>
        </w:rPr>
        <w:t>，</w:t>
      </w:r>
      <w:r>
        <w:rPr>
          <w:rFonts w:ascii="仿宋_GB2312" w:eastAsia="仿宋_GB2312" w:hAnsi="仿宋_GB2312" w:cs="仿宋_GB2312" w:hint="eastAsia"/>
          <w:b w:val="0"/>
          <w:bCs w:val="0"/>
        </w:rPr>
        <w:t>《关于深化智慧城市发展</w:t>
      </w:r>
      <w:r>
        <w:rPr>
          <w:rFonts w:ascii="仿宋_GB2312" w:eastAsia="仿宋_GB2312" w:hAnsi="仿宋_GB2312" w:cs="仿宋_GB2312" w:hint="eastAsia"/>
          <w:b w:val="0"/>
          <w:bCs w:val="0"/>
        </w:rPr>
        <w:t xml:space="preserve"> </w:t>
      </w:r>
      <w:r>
        <w:rPr>
          <w:rFonts w:ascii="仿宋_GB2312" w:eastAsia="仿宋_GB2312" w:hAnsi="仿宋_GB2312" w:cs="仿宋_GB2312" w:hint="eastAsia"/>
          <w:b w:val="0"/>
          <w:bCs w:val="0"/>
        </w:rPr>
        <w:t>推进城市全域数字化转型的指导意见》</w:t>
      </w:r>
      <w:r>
        <w:rPr>
          <w:rFonts w:ascii="仿宋_GB2312" w:eastAsia="仿宋_GB2312" w:hAnsi="仿宋_GB2312" w:cs="仿宋_GB2312" w:hint="eastAsia"/>
          <w:b w:val="0"/>
          <w:bCs w:val="0"/>
        </w:rPr>
        <w:t>(</w:t>
      </w:r>
      <w:r>
        <w:rPr>
          <w:rFonts w:ascii="仿宋_GB2312" w:eastAsia="仿宋_GB2312" w:hAnsi="仿宋_GB2312" w:cs="仿宋_GB2312" w:hint="eastAsia"/>
          <w:b w:val="0"/>
          <w:bCs w:val="0"/>
        </w:rPr>
        <w:t>发改数据〔</w:t>
      </w:r>
      <w:r>
        <w:rPr>
          <w:rFonts w:ascii="仿宋_GB2312" w:eastAsia="仿宋_GB2312" w:hAnsi="仿宋_GB2312" w:cs="仿宋_GB2312" w:hint="eastAsia"/>
          <w:b w:val="0"/>
          <w:bCs w:val="0"/>
        </w:rPr>
        <w:t>2024</w:t>
      </w:r>
      <w:r>
        <w:rPr>
          <w:rFonts w:ascii="仿宋_GB2312" w:eastAsia="仿宋_GB2312" w:hAnsi="仿宋_GB2312" w:cs="仿宋_GB2312" w:hint="eastAsia"/>
          <w:b w:val="0"/>
          <w:bCs w:val="0"/>
        </w:rPr>
        <w:t>〕</w:t>
      </w:r>
      <w:r>
        <w:rPr>
          <w:rFonts w:ascii="仿宋_GB2312" w:eastAsia="仿宋_GB2312" w:hAnsi="仿宋_GB2312" w:cs="仿宋_GB2312" w:hint="eastAsia"/>
          <w:b w:val="0"/>
          <w:bCs w:val="0"/>
        </w:rPr>
        <w:t>660</w:t>
      </w:r>
      <w:r>
        <w:rPr>
          <w:rFonts w:ascii="仿宋_GB2312" w:eastAsia="仿宋_GB2312" w:hAnsi="仿宋_GB2312" w:cs="仿宋_GB2312" w:hint="eastAsia"/>
          <w:b w:val="0"/>
          <w:bCs w:val="0"/>
        </w:rPr>
        <w:t>号</w:t>
      </w:r>
      <w:r>
        <w:rPr>
          <w:rFonts w:ascii="仿宋_GB2312" w:eastAsia="仿宋_GB2312" w:hAnsi="仿宋_GB2312" w:cs="仿宋_GB2312" w:hint="eastAsia"/>
          <w:b w:val="0"/>
          <w:bCs w:val="0"/>
        </w:rPr>
        <w:t>)</w:t>
      </w:r>
      <w:r>
        <w:rPr>
          <w:rFonts w:ascii="仿宋_GB2312" w:eastAsia="仿宋_GB2312" w:hAnsi="仿宋_GB2312" w:cs="仿宋_GB2312" w:hint="eastAsia"/>
          <w:b w:val="0"/>
          <w:bCs w:val="0"/>
        </w:rPr>
        <w:t>印发，标志着我国智慧城市建设进入深化发展的新阶段。</w:t>
      </w:r>
    </w:p>
    <w:p w14:paraId="622429B3" w14:textId="77777777" w:rsidR="00CE49D8" w:rsidRDefault="003762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一是技术架构加快重塑，全方位增强城市数字化转型支撑</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新时期智慧城市建设，要强调以系统思维重构城市数字化底座，突破传统单点技术堆砌模式，系统化布局、</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体化推进，加速构建面向未来的城市数字底座，构建自主可控的算力基础设施、建立跨部门数据融通体系，升级打造基于</w:t>
      </w:r>
      <w:r>
        <w:rPr>
          <w:rFonts w:ascii="仿宋_GB2312" w:eastAsia="仿宋_GB2312" w:hAnsi="仿宋_GB2312" w:cs="仿宋_GB2312" w:hint="eastAsia"/>
          <w:sz w:val="32"/>
          <w:szCs w:val="32"/>
        </w:rPr>
        <w:t>AI</w:t>
      </w:r>
      <w:r>
        <w:rPr>
          <w:rFonts w:ascii="仿宋_GB2312" w:eastAsia="仿宋_GB2312" w:hAnsi="仿宋_GB2312" w:cs="仿宋_GB2312" w:hint="eastAsia"/>
          <w:sz w:val="32"/>
          <w:szCs w:val="32"/>
        </w:rPr>
        <w:t>的一体化城市全域感知与协同决策支撑能力。</w:t>
      </w:r>
    </w:p>
    <w:p w14:paraId="461B3DBF" w14:textId="77777777" w:rsidR="00CE49D8" w:rsidRDefault="003762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w:t>
      </w:r>
      <w:r>
        <w:rPr>
          <w:rFonts w:ascii="仿宋_GB2312" w:eastAsia="仿宋_GB2312" w:hAnsi="仿宋_GB2312" w:cs="仿宋_GB2312" w:hint="eastAsia"/>
          <w:b/>
          <w:bCs/>
          <w:sz w:val="32"/>
          <w:szCs w:val="32"/>
        </w:rPr>
        <w:t>是制度创新不断深入，全过程优化城市数字化转型生态</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新时期智慧城市建设，要注重制度创新与技术创新相互促进，建设和运营并行推进，通过适数化制度创新，建立与数字化发展相适应的规范体系，持续创新智慧城市运营运维模式，全过程优化城市数字化转型生态，推进流程再造、模式变革、方式重塑。</w:t>
      </w:r>
    </w:p>
    <w:p w14:paraId="1B9BC0AE" w14:textId="77777777" w:rsidR="00CE49D8" w:rsidRDefault="003762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三是数据驱动持续强化，全领域赋能城市数字化转型场景</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新时期智慧城市建设，要强调以数据融通、开发利用贯穿城市全域数字化转型建设始终，以数据驱动城市经济社会全面转型发展，打造兼顾城市治理现代化与产业体系现代化的智慧城市升级版，为产业集聚、数字经济发展提供丰富的应用场景，为数字新技术、新产品集</w:t>
      </w:r>
      <w:r>
        <w:rPr>
          <w:rFonts w:ascii="仿宋_GB2312" w:eastAsia="仿宋_GB2312" w:hAnsi="仿宋_GB2312" w:cs="仿宋_GB2312" w:hint="eastAsia"/>
          <w:sz w:val="32"/>
          <w:szCs w:val="32"/>
        </w:rPr>
        <w:t>成创新和</w:t>
      </w:r>
      <w:r>
        <w:rPr>
          <w:rFonts w:ascii="仿宋_GB2312" w:eastAsia="仿宋_GB2312" w:hAnsi="仿宋_GB2312" w:cs="仿宋_GB2312" w:hint="eastAsia"/>
          <w:sz w:val="32"/>
          <w:szCs w:val="32"/>
        </w:rPr>
        <w:lastRenderedPageBreak/>
        <w:t>应用搭建实践和推广平台。</w:t>
      </w:r>
    </w:p>
    <w:p w14:paraId="124F0D32" w14:textId="77777777" w:rsidR="00CE49D8" w:rsidRDefault="003762A5">
      <w:pPr>
        <w:pStyle w:val="af7"/>
        <w:spacing w:before="0" w:after="0"/>
        <w:ind w:left="720"/>
        <w:rPr>
          <w:rFonts w:ascii="楷体_GB2312" w:eastAsia="楷体_GB2312" w:hAnsi="楷体_GB2312" w:cs="楷体_GB2312"/>
        </w:rPr>
      </w:pPr>
      <w:r>
        <w:rPr>
          <w:rFonts w:ascii="楷体_GB2312" w:eastAsia="楷体_GB2312" w:hAnsi="楷体_GB2312" w:cs="楷体_GB2312" w:hint="eastAsia"/>
        </w:rPr>
        <w:t>（二）拟解决的问题</w:t>
      </w:r>
    </w:p>
    <w:p w14:paraId="14FF6F01" w14:textId="77777777" w:rsidR="00CE49D8" w:rsidRDefault="003762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随着新型城镇化与数字中国建设的深入推进，城市治理正逐步向</w:t>
      </w:r>
      <w:r>
        <w:rPr>
          <w:rFonts w:ascii="仿宋_GB2312" w:eastAsia="仿宋_GB2312" w:hAnsi="仿宋_GB2312" w:cs="仿宋_GB2312" w:hint="eastAsia"/>
          <w:sz w:val="32"/>
          <w:szCs w:val="32"/>
          <w:shd w:val="clear" w:color="auto" w:fill="FFFFFF"/>
        </w:rPr>
        <w:t>数字化、</w:t>
      </w:r>
      <w:r>
        <w:rPr>
          <w:rFonts w:ascii="仿宋_GB2312" w:eastAsia="仿宋_GB2312" w:hAnsi="仿宋_GB2312" w:cs="仿宋_GB2312" w:hint="eastAsia"/>
          <w:sz w:val="32"/>
          <w:szCs w:val="32"/>
          <w:shd w:val="clear" w:color="auto" w:fill="FFFFFF"/>
        </w:rPr>
        <w:t>智能化方向转型。</w:t>
      </w:r>
      <w:r>
        <w:rPr>
          <w:rFonts w:ascii="仿宋_GB2312" w:eastAsia="仿宋_GB2312" w:hAnsi="仿宋_GB2312" w:cs="仿宋_GB2312" w:hint="eastAsia"/>
          <w:sz w:val="32"/>
          <w:szCs w:val="32"/>
        </w:rPr>
        <w:t>城市感知体系作为城市数字化、智能化发展的核心基础，逐渐成为连接物理世界与数字世界的重要桥梁。物联网技术的快速发展使得城市感知设备的种类和数量急剧增加，但这些设备在数据采集、传输和处理过程中，由于缺乏统一的物模型标准，导致数据格式不统一、接口协议不兼容、系统集成难度大等问题，严重制约了城市感知体系的高效协同和规模化应用。因此，通过城市感知体系标准规范的研制，可以为城市感知体系规划、设计、开发和应用提供建设指导和实施参考，避免建设过程中出现的互联互通差、技术路线繁多、性能体验参差不齐、持续升级维护困难等问题，使</w:t>
      </w:r>
      <w:r>
        <w:rPr>
          <w:rFonts w:ascii="仿宋_GB2312" w:eastAsia="仿宋_GB2312" w:hAnsi="仿宋_GB2312" w:cs="仿宋_GB2312" w:hint="eastAsia"/>
          <w:sz w:val="32"/>
          <w:szCs w:val="32"/>
        </w:rPr>
        <w:t>城市感知体系的建设有章可循。对于引导和促进城市感知体系规范化建设，推动产业有序、健康、可持续发展具有重要意义。</w:t>
      </w:r>
    </w:p>
    <w:p w14:paraId="1B6E00A8" w14:textId="77777777" w:rsidR="00CE49D8" w:rsidRDefault="003762A5">
      <w:pPr>
        <w:spacing w:line="560" w:lineRule="exact"/>
        <w:ind w:firstLineChars="200" w:firstLine="640"/>
        <w:outlineLvl w:val="0"/>
        <w:rPr>
          <w:rStyle w:val="1"/>
          <w:rFonts w:ascii="黑体" w:eastAsia="黑体" w:hAnsi="黑体" w:cs="黑体"/>
          <w:bCs/>
          <w:sz w:val="32"/>
          <w:szCs w:val="32"/>
        </w:rPr>
      </w:pPr>
      <w:r>
        <w:rPr>
          <w:rStyle w:val="1"/>
          <w:rFonts w:ascii="黑体" w:eastAsia="黑体" w:hAnsi="黑体" w:cs="黑体" w:hint="eastAsia"/>
          <w:bCs/>
          <w:sz w:val="32"/>
          <w:szCs w:val="32"/>
        </w:rPr>
        <w:t>三</w:t>
      </w:r>
      <w:r>
        <w:rPr>
          <w:rStyle w:val="1"/>
          <w:rFonts w:ascii="黑体" w:eastAsia="黑体" w:hAnsi="黑体" w:cs="黑体" w:hint="eastAsia"/>
          <w:bCs/>
          <w:sz w:val="32"/>
          <w:szCs w:val="32"/>
        </w:rPr>
        <w:t>、标准编制原则和主要内容的确定</w:t>
      </w:r>
    </w:p>
    <w:p w14:paraId="7E400E16" w14:textId="77777777" w:rsidR="00CE49D8" w:rsidRDefault="003762A5">
      <w:pPr>
        <w:spacing w:line="560" w:lineRule="exact"/>
        <w:ind w:firstLineChars="200" w:firstLine="640"/>
        <w:rPr>
          <w:rStyle w:val="1"/>
          <w:rFonts w:ascii="楷体_GB2312" w:eastAsia="楷体_GB2312" w:hAnsi="楷体_GB2312" w:cs="楷体_GB2312"/>
          <w:b/>
          <w:sz w:val="32"/>
          <w:szCs w:val="32"/>
        </w:rPr>
      </w:pPr>
      <w:r>
        <w:rPr>
          <w:rStyle w:val="1"/>
          <w:rFonts w:ascii="楷体_GB2312" w:eastAsia="楷体_GB2312" w:hAnsi="楷体_GB2312" w:cs="楷体_GB2312" w:hint="eastAsia"/>
          <w:b/>
          <w:sz w:val="32"/>
          <w:szCs w:val="32"/>
        </w:rPr>
        <w:t>（</w:t>
      </w:r>
      <w:r>
        <w:rPr>
          <w:rStyle w:val="1"/>
          <w:rFonts w:ascii="楷体_GB2312" w:eastAsia="楷体_GB2312" w:hAnsi="楷体_GB2312" w:cs="楷体_GB2312" w:hint="eastAsia"/>
          <w:b/>
          <w:sz w:val="32"/>
          <w:szCs w:val="32"/>
        </w:rPr>
        <w:t>一</w:t>
      </w:r>
      <w:r>
        <w:rPr>
          <w:rStyle w:val="1"/>
          <w:rFonts w:ascii="楷体_GB2312" w:eastAsia="楷体_GB2312" w:hAnsi="楷体_GB2312" w:cs="楷体_GB2312" w:hint="eastAsia"/>
          <w:b/>
          <w:sz w:val="32"/>
          <w:szCs w:val="32"/>
        </w:rPr>
        <w:t>）</w:t>
      </w:r>
      <w:r>
        <w:rPr>
          <w:rStyle w:val="1"/>
          <w:rFonts w:ascii="楷体_GB2312" w:eastAsia="楷体_GB2312" w:hAnsi="楷体_GB2312" w:cs="楷体_GB2312" w:hint="eastAsia"/>
          <w:b/>
          <w:sz w:val="32"/>
          <w:szCs w:val="32"/>
        </w:rPr>
        <w:t>标准编制原则</w:t>
      </w:r>
    </w:p>
    <w:p w14:paraId="40305AA9" w14:textId="77777777" w:rsidR="00CE49D8" w:rsidRDefault="003762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本标准严格遵照</w:t>
      </w:r>
      <w:r>
        <w:rPr>
          <w:rFonts w:ascii="仿宋_GB2312" w:eastAsia="仿宋_GB2312" w:hAnsi="仿宋_GB2312" w:cs="仿宋_GB2312" w:hint="eastAsia"/>
          <w:sz w:val="32"/>
          <w:szCs w:val="32"/>
        </w:rPr>
        <w:t>GB/T 1.1-2020</w:t>
      </w:r>
      <w:r>
        <w:rPr>
          <w:rFonts w:ascii="仿宋_GB2312" w:eastAsia="仿宋_GB2312" w:hAnsi="仿宋_GB2312" w:cs="仿宋_GB2312" w:hint="eastAsia"/>
          <w:sz w:val="32"/>
          <w:szCs w:val="32"/>
        </w:rPr>
        <w:t>《标准化工作导则</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部分：标准化文件的结构和起草规则》的有关规定编写。</w:t>
      </w:r>
    </w:p>
    <w:p w14:paraId="4F0DE788" w14:textId="77777777" w:rsidR="00CE49D8" w:rsidRDefault="003762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该标准是指导城市感知体系物模型建设的具体技术依据，也是建立相关平台质量测评标准、工程标准及应用标准的依据，对城市感知规划与建设具有重要的基础支撑作用。本标准应与相关国家标准相一致。</w:t>
      </w:r>
      <w:r>
        <w:rPr>
          <w:rFonts w:ascii="仿宋_GB2312" w:eastAsia="仿宋_GB2312" w:hAnsi="仿宋_GB2312" w:cs="仿宋_GB2312" w:hint="eastAsia"/>
          <w:sz w:val="32"/>
          <w:szCs w:val="32"/>
        </w:rPr>
        <w:t xml:space="preserve"> </w:t>
      </w:r>
    </w:p>
    <w:p w14:paraId="6BB726BB" w14:textId="77777777" w:rsidR="00CE49D8" w:rsidRDefault="003762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采用理论与实践相结合的工作方法，积极开展标准试点验证工作，将典型的、卓有成效的城市感知体系物模型建设经验固化为标准，并</w:t>
      </w:r>
      <w:r>
        <w:rPr>
          <w:rFonts w:ascii="仿宋_GB2312" w:eastAsia="仿宋_GB2312" w:hAnsi="仿宋_GB2312" w:cs="仿宋_GB2312" w:hint="eastAsia"/>
          <w:sz w:val="32"/>
          <w:szCs w:val="32"/>
        </w:rPr>
        <w:lastRenderedPageBreak/>
        <w:t>加强标准的应用实施，提升标准的适用性和实用性。</w:t>
      </w:r>
    </w:p>
    <w:p w14:paraId="2DA3FCEA" w14:textId="77777777" w:rsidR="00CE49D8" w:rsidRDefault="003762A5">
      <w:pPr>
        <w:spacing w:line="560" w:lineRule="exact"/>
        <w:ind w:firstLineChars="200" w:firstLine="640"/>
        <w:rPr>
          <w:rStyle w:val="1"/>
          <w:rFonts w:ascii="楷体_GB2312" w:eastAsia="楷体_GB2312" w:hAnsi="楷体_GB2312" w:cs="楷体_GB2312"/>
          <w:b/>
          <w:sz w:val="32"/>
          <w:szCs w:val="32"/>
        </w:rPr>
      </w:pPr>
      <w:r>
        <w:rPr>
          <w:rStyle w:val="1"/>
          <w:rFonts w:ascii="楷体_GB2312" w:eastAsia="楷体_GB2312" w:hAnsi="楷体_GB2312" w:cs="楷体_GB2312" w:hint="eastAsia"/>
          <w:b/>
          <w:sz w:val="32"/>
          <w:szCs w:val="32"/>
        </w:rPr>
        <w:t>（</w:t>
      </w:r>
      <w:r>
        <w:rPr>
          <w:rStyle w:val="1"/>
          <w:rFonts w:ascii="楷体_GB2312" w:eastAsia="楷体_GB2312" w:hAnsi="楷体_GB2312" w:cs="楷体_GB2312" w:hint="eastAsia"/>
          <w:b/>
          <w:sz w:val="32"/>
          <w:szCs w:val="32"/>
        </w:rPr>
        <w:t>二</w:t>
      </w:r>
      <w:r>
        <w:rPr>
          <w:rStyle w:val="1"/>
          <w:rFonts w:ascii="楷体_GB2312" w:eastAsia="楷体_GB2312" w:hAnsi="楷体_GB2312" w:cs="楷体_GB2312" w:hint="eastAsia"/>
          <w:b/>
          <w:sz w:val="32"/>
          <w:szCs w:val="32"/>
        </w:rPr>
        <w:t>）</w:t>
      </w:r>
      <w:r>
        <w:rPr>
          <w:rStyle w:val="1"/>
          <w:rFonts w:ascii="楷体_GB2312" w:eastAsia="楷体_GB2312" w:hAnsi="楷体_GB2312" w:cs="楷体_GB2312" w:hint="eastAsia"/>
          <w:b/>
          <w:sz w:val="32"/>
          <w:szCs w:val="32"/>
        </w:rPr>
        <w:t>标准的主要内容</w:t>
      </w:r>
    </w:p>
    <w:p w14:paraId="36703C68" w14:textId="77777777" w:rsidR="00CE49D8" w:rsidRDefault="003762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本文件确立了城市感知体系的物模型的总体架构，规定了物模型元素、特征列表。</w:t>
      </w:r>
    </w:p>
    <w:p w14:paraId="6FE746A1" w14:textId="77777777" w:rsidR="00CE49D8" w:rsidRDefault="003762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本文件适用于城市感知体系的物模型的设计、开发和应用。</w:t>
      </w:r>
    </w:p>
    <w:p w14:paraId="0D83E322" w14:textId="77777777" w:rsidR="00CE49D8" w:rsidRDefault="003762A5">
      <w:pPr>
        <w:spacing w:line="560" w:lineRule="exact"/>
        <w:ind w:firstLineChars="200" w:firstLine="640"/>
        <w:outlineLvl w:val="0"/>
        <w:rPr>
          <w:rStyle w:val="1"/>
          <w:rFonts w:ascii="黑体" w:eastAsia="黑体" w:hAnsi="黑体" w:cs="黑体"/>
          <w:bCs/>
          <w:sz w:val="32"/>
          <w:szCs w:val="32"/>
        </w:rPr>
      </w:pPr>
      <w:r>
        <w:rPr>
          <w:rStyle w:val="1"/>
          <w:rFonts w:ascii="黑体" w:eastAsia="黑体" w:hAnsi="黑体" w:cs="黑体" w:hint="eastAsia"/>
          <w:bCs/>
          <w:sz w:val="32"/>
          <w:szCs w:val="32"/>
        </w:rPr>
        <w:t>四</w:t>
      </w:r>
      <w:r>
        <w:rPr>
          <w:rStyle w:val="1"/>
          <w:rFonts w:ascii="黑体" w:eastAsia="黑体" w:hAnsi="黑体" w:cs="黑体" w:hint="eastAsia"/>
          <w:bCs/>
          <w:sz w:val="32"/>
          <w:szCs w:val="32"/>
        </w:rPr>
        <w:t>、主要试验</w:t>
      </w:r>
      <w:r>
        <w:rPr>
          <w:rStyle w:val="1"/>
          <w:rFonts w:ascii="黑体" w:eastAsia="黑体" w:hAnsi="黑体" w:cs="黑体" w:hint="eastAsia"/>
          <w:bCs/>
          <w:sz w:val="32"/>
          <w:szCs w:val="32"/>
        </w:rPr>
        <w:t>或验证情况的分析</w:t>
      </w:r>
    </w:p>
    <w:p w14:paraId="213AF6E5" w14:textId="77777777" w:rsidR="00CE49D8" w:rsidRDefault="003762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该标准在研制过程中，充分借鉴参考了相关城市感知体系建设的实践经验，并吸纳了相关平台建设的相关方参与研制。</w:t>
      </w:r>
    </w:p>
    <w:p w14:paraId="003D9AFC" w14:textId="77777777" w:rsidR="00CE49D8" w:rsidRDefault="003762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在标准研制过程中，同步面向南京、武汉等地区开展了标准内容的调研、验证与分析工作，及时对标准内容进行完善。</w:t>
      </w:r>
    </w:p>
    <w:p w14:paraId="39773202" w14:textId="77777777" w:rsidR="00CE49D8" w:rsidRDefault="003762A5">
      <w:pPr>
        <w:spacing w:line="560" w:lineRule="exact"/>
        <w:ind w:firstLineChars="200" w:firstLine="640"/>
        <w:outlineLvl w:val="1"/>
        <w:rPr>
          <w:rFonts w:ascii="仿宋_GB2312" w:eastAsia="仿宋_GB2312" w:hAnsi="仿宋_GB2312" w:cs="仿宋_GB2312"/>
          <w:b/>
          <w:sz w:val="32"/>
          <w:szCs w:val="32"/>
        </w:rPr>
      </w:pPr>
      <w:r>
        <w:rPr>
          <w:rFonts w:ascii="黑体" w:eastAsia="黑体" w:hAnsi="黑体" w:cs="黑体" w:hint="eastAsia"/>
          <w:bCs/>
          <w:sz w:val="32"/>
          <w:szCs w:val="32"/>
        </w:rPr>
        <w:t>五、</w:t>
      </w:r>
      <w:r>
        <w:rPr>
          <w:rFonts w:ascii="黑体" w:eastAsia="黑体" w:hAnsi="黑体" w:cs="Times New Roman" w:hint="eastAsia"/>
          <w:sz w:val="32"/>
          <w:szCs w:val="32"/>
        </w:rPr>
        <w:t>标准在粤港澳三地调研、研讨、征求意见及邀请三地专家审定的情况</w:t>
      </w:r>
    </w:p>
    <w:p w14:paraId="388E90B0" w14:textId="77777777" w:rsidR="00CE49D8" w:rsidRDefault="003762A5">
      <w:pPr>
        <w:pStyle w:val="20"/>
        <w:spacing w:after="0" w:line="560" w:lineRule="exact"/>
        <w:ind w:leftChars="0"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标准起草组织工作由深圳市标准技术研究院牵头负责，确立本标准的制定任务后，起草组制定了详细的项目实施计划，并明确了各个阶段的任务、目标、输出产物及时间进度要求。起草组开展了认真细致的资料收集、调查研究和标准编写工作，标准草案经过多次研讨和修改完善。在调研、起草、研讨、征求意见、技术审查等各个阶段，均组织三地起草专家进行讨论，对标准内容、标准修改、意见处理等逐一确认，达成一致意见。</w:t>
      </w:r>
    </w:p>
    <w:p w14:paraId="792C2757" w14:textId="77777777" w:rsidR="00CE49D8" w:rsidRDefault="003762A5">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一</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标准草案预研及参编单位征集</w:t>
      </w:r>
    </w:p>
    <w:p w14:paraId="6FF19CC1" w14:textId="77777777" w:rsidR="00CE49D8" w:rsidRDefault="003762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标准编制组于</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月启动标准草案研究与细化工作，明确了《城市感知体系</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物模型要求》的</w:t>
      </w:r>
      <w:r>
        <w:rPr>
          <w:rFonts w:ascii="仿宋_GB2312" w:eastAsia="仿宋_GB2312" w:hAnsi="仿宋_GB2312" w:cs="仿宋_GB2312" w:hint="eastAsia"/>
          <w:sz w:val="32"/>
          <w:szCs w:val="32"/>
        </w:rPr>
        <w:t>标准框架以及各部分编制目标和重点，并在智慧城市产业生态圈</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数字城市产业生态联盟</w:t>
      </w:r>
      <w:r>
        <w:rPr>
          <w:rFonts w:ascii="仿宋_GB2312" w:eastAsia="仿宋_GB2312" w:hAnsi="仿宋_GB2312" w:cs="仿宋_GB2312" w:hint="eastAsia"/>
          <w:sz w:val="32"/>
          <w:szCs w:val="32"/>
        </w:rPr>
        <w:t>征集标准参编单位。</w:t>
      </w:r>
    </w:p>
    <w:p w14:paraId="4BA9D8A6" w14:textId="77777777" w:rsidR="00CE49D8" w:rsidRDefault="003762A5">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w:t>
      </w:r>
      <w:r>
        <w:rPr>
          <w:rFonts w:ascii="楷体_GB2312" w:eastAsia="楷体_GB2312" w:hAnsi="楷体_GB2312" w:cs="楷体_GB2312" w:hint="eastAsia"/>
          <w:b/>
          <w:bCs/>
          <w:sz w:val="32"/>
          <w:szCs w:val="32"/>
        </w:rPr>
        <w:t>二</w:t>
      </w:r>
      <w:r>
        <w:rPr>
          <w:rFonts w:ascii="楷体_GB2312" w:eastAsia="楷体_GB2312" w:hAnsi="楷体_GB2312" w:cs="楷体_GB2312" w:hint="eastAsia"/>
          <w:b/>
          <w:bCs/>
          <w:sz w:val="32"/>
          <w:szCs w:val="32"/>
        </w:rPr>
        <w:t>）标准编制启动会及第一次研讨会</w:t>
      </w:r>
    </w:p>
    <w:p w14:paraId="22A7F611" w14:textId="77777777" w:rsidR="00CE49D8" w:rsidRDefault="003762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标准编制组于</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日以网络会议形式召开了启动会及第一次讨论会。会议由秘书处主持，编制组就《城市感知体系</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物模型要求》的框架、内容及后续工作计划、任务分工等进行深入讨论。</w:t>
      </w:r>
    </w:p>
    <w:p w14:paraId="627B9FC9" w14:textId="77777777" w:rsidR="00CE49D8" w:rsidRDefault="003762A5">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三</w:t>
      </w:r>
      <w:r>
        <w:rPr>
          <w:rFonts w:ascii="楷体_GB2312" w:eastAsia="楷体_GB2312" w:hAnsi="楷体_GB2312" w:cs="楷体_GB2312" w:hint="eastAsia"/>
          <w:b/>
          <w:bCs/>
          <w:sz w:val="32"/>
          <w:szCs w:val="32"/>
        </w:rPr>
        <w:t>）第二次召开标准研讨会</w:t>
      </w:r>
    </w:p>
    <w:p w14:paraId="61C6E19E" w14:textId="77777777" w:rsidR="00CE49D8" w:rsidRDefault="003762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按照项目进度，标准编制组于</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日以网络会议形式召开了第二次讨论会。编制组根据《城市感知体系</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物模型要求》的技术内容细节进行深入讨论，后经牵头单位修改后形成征求意见稿。</w:t>
      </w:r>
    </w:p>
    <w:p w14:paraId="68ECDC00" w14:textId="77777777" w:rsidR="00CE49D8" w:rsidRDefault="003762A5">
      <w:pPr>
        <w:spacing w:line="560" w:lineRule="exact"/>
        <w:ind w:firstLineChars="200" w:firstLine="640"/>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w:t>
      </w:r>
      <w:r>
        <w:rPr>
          <w:rFonts w:ascii="楷体_GB2312" w:eastAsia="楷体_GB2312" w:hAnsi="楷体_GB2312" w:cs="楷体_GB2312" w:hint="eastAsia"/>
          <w:b/>
          <w:bCs/>
          <w:kern w:val="0"/>
          <w:sz w:val="32"/>
          <w:szCs w:val="32"/>
        </w:rPr>
        <w:t>四</w:t>
      </w:r>
      <w:r>
        <w:rPr>
          <w:rFonts w:ascii="楷体_GB2312" w:eastAsia="楷体_GB2312" w:hAnsi="楷体_GB2312" w:cs="楷体_GB2312" w:hint="eastAsia"/>
          <w:b/>
          <w:bCs/>
          <w:kern w:val="0"/>
          <w:sz w:val="32"/>
          <w:szCs w:val="32"/>
        </w:rPr>
        <w:t>）</w:t>
      </w:r>
      <w:r>
        <w:rPr>
          <w:rFonts w:ascii="楷体_GB2312" w:eastAsia="楷体_GB2312" w:hAnsi="楷体_GB2312" w:cs="楷体_GB2312" w:hint="eastAsia"/>
          <w:b/>
          <w:bCs/>
          <w:sz w:val="32"/>
          <w:szCs w:val="32"/>
        </w:rPr>
        <w:t>形成标准征求意见稿</w:t>
      </w:r>
    </w:p>
    <w:p w14:paraId="7071608D" w14:textId="77777777" w:rsidR="00CE49D8" w:rsidRDefault="003762A5">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2025</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24</w:t>
      </w:r>
      <w:r>
        <w:rPr>
          <w:rFonts w:ascii="仿宋_GB2312" w:eastAsia="仿宋_GB2312" w:hAnsi="仿宋_GB2312" w:cs="仿宋_GB2312" w:hint="eastAsia"/>
          <w:kern w:val="0"/>
          <w:sz w:val="32"/>
          <w:szCs w:val="32"/>
        </w:rPr>
        <w:t>日</w:t>
      </w:r>
      <w:r>
        <w:rPr>
          <w:rFonts w:ascii="仿宋_GB2312" w:eastAsia="仿宋_GB2312" w:hAnsi="仿宋_GB2312" w:cs="仿宋_GB2312" w:hint="eastAsia"/>
          <w:kern w:val="0"/>
          <w:sz w:val="32"/>
          <w:szCs w:val="32"/>
        </w:rPr>
        <w:t>-2025</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14</w:t>
      </w:r>
      <w:r>
        <w:rPr>
          <w:rFonts w:ascii="仿宋_GB2312" w:eastAsia="仿宋_GB2312" w:hAnsi="仿宋_GB2312" w:cs="仿宋_GB2312" w:hint="eastAsia"/>
          <w:kern w:val="0"/>
          <w:sz w:val="32"/>
          <w:szCs w:val="32"/>
        </w:rPr>
        <w:t>日，由智慧城市产业生态圈、数字城市产业生态联盟、深圳市物联网产业协会分别在微信公众号、协会官网、全国团体标准信息平台公开征集意见。共收到意见</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条。</w:t>
      </w:r>
    </w:p>
    <w:p w14:paraId="19C05417" w14:textId="77777777" w:rsidR="00CE49D8" w:rsidRDefault="003762A5">
      <w:pPr>
        <w:adjustRightInd w:val="0"/>
        <w:spacing w:line="560" w:lineRule="exact"/>
        <w:ind w:firstLineChars="200" w:firstLine="640"/>
        <w:outlineLvl w:val="0"/>
        <w:rPr>
          <w:rFonts w:ascii="黑体" w:eastAsia="黑体" w:hAnsi="黑体" w:cs="黑体"/>
          <w:bCs/>
          <w:sz w:val="32"/>
          <w:szCs w:val="32"/>
        </w:rPr>
      </w:pPr>
      <w:r>
        <w:rPr>
          <w:rFonts w:ascii="黑体" w:eastAsia="黑体" w:hAnsi="黑体" w:cs="黑体" w:hint="eastAsia"/>
          <w:bCs/>
          <w:sz w:val="32"/>
          <w:szCs w:val="32"/>
        </w:rPr>
        <w:t>七</w:t>
      </w:r>
      <w:r>
        <w:rPr>
          <w:rFonts w:ascii="黑体" w:eastAsia="黑体" w:hAnsi="黑体" w:cs="黑体" w:hint="eastAsia"/>
          <w:bCs/>
          <w:sz w:val="32"/>
          <w:szCs w:val="32"/>
        </w:rPr>
        <w:t>、</w:t>
      </w:r>
      <w:r>
        <w:rPr>
          <w:rFonts w:ascii="黑体" w:eastAsia="黑体" w:hAnsi="黑体" w:cs="黑体" w:hint="eastAsia"/>
          <w:kern w:val="0"/>
          <w:sz w:val="32"/>
          <w:szCs w:val="32"/>
        </w:rPr>
        <w:t>重大分歧意见的处理经过和依据</w:t>
      </w:r>
    </w:p>
    <w:p w14:paraId="31FA4540" w14:textId="77777777" w:rsidR="00CE49D8" w:rsidRDefault="003762A5">
      <w:pPr>
        <w:adjustRightInd w:val="0"/>
        <w:spacing w:line="560" w:lineRule="exact"/>
        <w:ind w:firstLineChars="200" w:firstLine="640"/>
        <w:outlineLvl w:val="0"/>
        <w:rPr>
          <w:rFonts w:ascii="黑体" w:eastAsia="黑体" w:hAnsi="黑体" w:cs="黑体"/>
          <w:bCs/>
          <w:sz w:val="32"/>
          <w:szCs w:val="32"/>
        </w:rPr>
      </w:pPr>
      <w:r>
        <w:rPr>
          <w:rFonts w:ascii="仿宋_GB2312" w:eastAsia="仿宋_GB2312" w:hAnsi="仿宋_GB2312" w:cs="仿宋_GB2312" w:hint="eastAsia"/>
          <w:sz w:val="32"/>
          <w:szCs w:val="32"/>
        </w:rPr>
        <w:t>在征求意见过程中，未出现重大分歧意见。对于个别单位和专家提出的不同意见和建议，编制组进行了认真的研究和分析，与提出方进行了充分的沟通和交流，达成了一致意见。对于一些技术细节问题，通过进一步的试验研究和数据分析，确定了合理的解决方案，确保标准内容科学、合理、可行。</w:t>
      </w:r>
    </w:p>
    <w:p w14:paraId="4ABD7FB1" w14:textId="77777777" w:rsidR="00CE49D8" w:rsidRDefault="003762A5">
      <w:pPr>
        <w:adjustRightInd w:val="0"/>
        <w:spacing w:line="560" w:lineRule="exact"/>
        <w:ind w:firstLineChars="200" w:firstLine="640"/>
        <w:outlineLvl w:val="0"/>
        <w:rPr>
          <w:rFonts w:ascii="黑体" w:eastAsia="黑体" w:hAnsi="黑体" w:cs="黑体"/>
          <w:bCs/>
          <w:sz w:val="32"/>
          <w:szCs w:val="32"/>
        </w:rPr>
      </w:pPr>
      <w:r>
        <w:rPr>
          <w:rFonts w:ascii="黑体" w:eastAsia="黑体" w:hAnsi="黑体" w:cs="黑体" w:hint="eastAsia"/>
          <w:bCs/>
          <w:sz w:val="32"/>
          <w:szCs w:val="32"/>
        </w:rPr>
        <w:t>八</w:t>
      </w:r>
      <w:r>
        <w:rPr>
          <w:rFonts w:ascii="黑体" w:eastAsia="黑体" w:hAnsi="黑体" w:cs="黑体" w:hint="eastAsia"/>
          <w:bCs/>
          <w:sz w:val="32"/>
          <w:szCs w:val="32"/>
        </w:rPr>
        <w:t>、</w:t>
      </w:r>
      <w:r>
        <w:rPr>
          <w:rFonts w:ascii="黑体" w:eastAsia="黑体" w:hAnsi="黑体" w:cs="黑体" w:hint="eastAsia"/>
          <w:kern w:val="0"/>
          <w:sz w:val="32"/>
          <w:szCs w:val="32"/>
        </w:rPr>
        <w:t>标准对比及采</w:t>
      </w:r>
      <w:r>
        <w:rPr>
          <w:rFonts w:ascii="黑体" w:eastAsia="黑体" w:hAnsi="黑体" w:cs="黑体" w:hint="eastAsia"/>
          <w:kern w:val="0"/>
          <w:sz w:val="32"/>
          <w:szCs w:val="32"/>
        </w:rPr>
        <w:t>标</w:t>
      </w:r>
      <w:r>
        <w:rPr>
          <w:rFonts w:ascii="黑体" w:eastAsia="黑体" w:hAnsi="黑体" w:cs="黑体" w:hint="eastAsia"/>
          <w:kern w:val="0"/>
          <w:sz w:val="32"/>
          <w:szCs w:val="32"/>
        </w:rPr>
        <w:t>情况分析</w:t>
      </w:r>
    </w:p>
    <w:p w14:paraId="0ED2A933" w14:textId="77777777" w:rsidR="00CE49D8" w:rsidRDefault="003762A5">
      <w:pPr>
        <w:adjustRightInd w:val="0"/>
        <w:spacing w:line="560" w:lineRule="exact"/>
        <w:ind w:firstLineChars="200" w:firstLine="640"/>
        <w:outlineLvl w:val="0"/>
        <w:rPr>
          <w:rFonts w:ascii="楷体_GB2312" w:eastAsia="楷体_GB2312" w:hAnsi="楷体_GB2312" w:cs="楷体_GB2312"/>
          <w:b/>
          <w:sz w:val="32"/>
          <w:szCs w:val="32"/>
        </w:rPr>
      </w:pPr>
      <w:r>
        <w:rPr>
          <w:rFonts w:ascii="楷体_GB2312" w:eastAsia="楷体_GB2312" w:hAnsi="楷体_GB2312" w:cs="楷体_GB2312" w:hint="eastAsia"/>
          <w:b/>
          <w:sz w:val="32"/>
          <w:szCs w:val="32"/>
        </w:rPr>
        <w:t>（一）国际标准</w:t>
      </w:r>
    </w:p>
    <w:p w14:paraId="05A1D65D" w14:textId="3C015B00" w:rsidR="00CE49D8" w:rsidRPr="001C4059" w:rsidRDefault="001C4059" w:rsidP="001C4059">
      <w:pPr>
        <w:adjustRightInd w:val="0"/>
        <w:spacing w:line="560" w:lineRule="exact"/>
        <w:ind w:firstLineChars="200" w:firstLine="640"/>
        <w:rPr>
          <w:rFonts w:ascii="仿宋_GB2312" w:eastAsia="仿宋_GB2312" w:hAnsi="仿宋_GB2312" w:cs="仿宋_GB2312"/>
          <w:sz w:val="32"/>
          <w:szCs w:val="32"/>
        </w:rPr>
      </w:pPr>
      <w:r w:rsidRPr="001C4059">
        <w:rPr>
          <w:rFonts w:ascii="仿宋_GB2312" w:eastAsia="仿宋_GB2312" w:hAnsi="仿宋_GB2312" w:cs="仿宋_GB2312" w:hint="eastAsia"/>
          <w:sz w:val="32"/>
          <w:szCs w:val="32"/>
        </w:rPr>
        <w:t>无</w:t>
      </w:r>
    </w:p>
    <w:p w14:paraId="0AA98809" w14:textId="77777777" w:rsidR="00CE49D8" w:rsidRDefault="003762A5">
      <w:pPr>
        <w:adjustRightInd w:val="0"/>
        <w:spacing w:line="560" w:lineRule="exact"/>
        <w:ind w:firstLineChars="200" w:firstLine="640"/>
        <w:outlineLvl w:val="0"/>
        <w:rPr>
          <w:rFonts w:ascii="楷体_GB2312" w:eastAsia="楷体_GB2312" w:hAnsi="楷体_GB2312" w:cs="楷体_GB2312"/>
          <w:b/>
          <w:sz w:val="32"/>
          <w:szCs w:val="32"/>
        </w:rPr>
      </w:pPr>
      <w:r>
        <w:rPr>
          <w:rFonts w:ascii="楷体_GB2312" w:eastAsia="楷体_GB2312" w:hAnsi="楷体_GB2312" w:cs="楷体_GB2312" w:hint="eastAsia"/>
          <w:b/>
          <w:sz w:val="32"/>
          <w:szCs w:val="32"/>
        </w:rPr>
        <w:t>（二）国家标准</w:t>
      </w:r>
    </w:p>
    <w:p w14:paraId="1D4D7FF7" w14:textId="34A5353D" w:rsidR="00CE49D8" w:rsidRPr="001C4059" w:rsidRDefault="004F21AE" w:rsidP="001C4059">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14:paraId="3B4A6678" w14:textId="77777777" w:rsidR="00CE49D8" w:rsidRDefault="003762A5">
      <w:pPr>
        <w:adjustRightInd w:val="0"/>
        <w:spacing w:line="560" w:lineRule="exact"/>
        <w:ind w:firstLineChars="200" w:firstLine="640"/>
        <w:outlineLvl w:val="0"/>
        <w:rPr>
          <w:rFonts w:ascii="楷体_GB2312" w:eastAsia="楷体_GB2312" w:hAnsi="楷体_GB2312" w:cs="楷体_GB2312"/>
          <w:b/>
          <w:sz w:val="32"/>
          <w:szCs w:val="32"/>
        </w:rPr>
      </w:pPr>
      <w:r>
        <w:rPr>
          <w:rFonts w:ascii="楷体_GB2312" w:eastAsia="楷体_GB2312" w:hAnsi="楷体_GB2312" w:cs="楷体_GB2312" w:hint="eastAsia"/>
          <w:b/>
          <w:sz w:val="32"/>
          <w:szCs w:val="32"/>
        </w:rPr>
        <w:t>（三）行业标准</w:t>
      </w:r>
    </w:p>
    <w:p w14:paraId="5AC9C370" w14:textId="3402957C" w:rsidR="001C4059" w:rsidRPr="001C4059" w:rsidRDefault="001C4059" w:rsidP="001C4059">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与行业标准</w:t>
      </w:r>
      <w:r w:rsidRPr="001C4059">
        <w:rPr>
          <w:rFonts w:ascii="仿宋_GB2312" w:eastAsia="仿宋_GB2312" w:hAnsi="仿宋_GB2312" w:cs="仿宋_GB2312" w:hint="eastAsia"/>
          <w:sz w:val="32"/>
          <w:szCs w:val="32"/>
        </w:rPr>
        <w:t>《智慧城市 城市感知体系 总体技术规范》（项目编号：2023-0568T-SJ）</w:t>
      </w:r>
      <w:r>
        <w:rPr>
          <w:rFonts w:ascii="仿宋_GB2312" w:eastAsia="仿宋_GB2312" w:hAnsi="仿宋_GB2312" w:cs="仿宋_GB2312" w:hint="eastAsia"/>
          <w:sz w:val="32"/>
          <w:szCs w:val="32"/>
        </w:rPr>
        <w:t>、</w:t>
      </w:r>
      <w:r w:rsidRPr="001C4059">
        <w:rPr>
          <w:rFonts w:ascii="仿宋_GB2312" w:eastAsia="仿宋_GB2312" w:hAnsi="仿宋_GB2312" w:cs="仿宋_GB2312" w:hint="eastAsia"/>
          <w:sz w:val="32"/>
          <w:szCs w:val="32"/>
        </w:rPr>
        <w:t>《智慧城市 城市感知体系 终端设备操作系统规范》（项目编号：2023-0567T-SJ）</w:t>
      </w:r>
      <w:r>
        <w:rPr>
          <w:rFonts w:ascii="仿宋_GB2312" w:eastAsia="仿宋_GB2312" w:hAnsi="仿宋_GB2312" w:cs="仿宋_GB2312" w:hint="eastAsia"/>
          <w:sz w:val="32"/>
          <w:szCs w:val="32"/>
        </w:rPr>
        <w:t>配套使用</w:t>
      </w:r>
      <w:r w:rsidR="005D6EF7">
        <w:rPr>
          <w:rFonts w:ascii="仿宋_GB2312" w:eastAsia="仿宋_GB2312" w:hAnsi="仿宋_GB2312" w:cs="仿宋_GB2312" w:hint="eastAsia"/>
          <w:sz w:val="32"/>
          <w:szCs w:val="32"/>
        </w:rPr>
        <w:t>。</w:t>
      </w:r>
    </w:p>
    <w:p w14:paraId="538A5C2A" w14:textId="77777777" w:rsidR="00CE49D8" w:rsidRDefault="003762A5">
      <w:pPr>
        <w:spacing w:line="560" w:lineRule="exact"/>
        <w:ind w:firstLineChars="200" w:firstLine="640"/>
        <w:jc w:val="left"/>
        <w:rPr>
          <w:rFonts w:ascii="楷体_GB2312" w:eastAsia="楷体_GB2312" w:hAnsi="楷体_GB2312" w:cs="楷体_GB2312"/>
          <w:b/>
          <w:sz w:val="32"/>
          <w:szCs w:val="32"/>
        </w:rPr>
      </w:pPr>
      <w:r>
        <w:rPr>
          <w:rFonts w:ascii="楷体_GB2312" w:eastAsia="楷体_GB2312" w:hAnsi="楷体_GB2312" w:cs="楷体_GB2312" w:hint="eastAsia"/>
          <w:b/>
          <w:sz w:val="32"/>
          <w:szCs w:val="32"/>
        </w:rPr>
        <w:t>（四）其他省同类标准</w:t>
      </w:r>
    </w:p>
    <w:p w14:paraId="7DFE9A3C" w14:textId="77777777" w:rsidR="00CE49D8" w:rsidRDefault="003762A5">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经调研，其他省份目前尚未有专门针对智慧城市</w:t>
      </w:r>
      <w:r>
        <w:rPr>
          <w:rFonts w:ascii="仿宋_GB2312" w:eastAsia="仿宋_GB2312" w:hAnsi="仿宋_GB2312" w:cs="仿宋_GB2312" w:hint="eastAsia"/>
          <w:sz w:val="32"/>
          <w:szCs w:val="32"/>
        </w:rPr>
        <w:t>感知体系物模型</w:t>
      </w:r>
      <w:r>
        <w:rPr>
          <w:rFonts w:ascii="仿宋_GB2312" w:eastAsia="仿宋_GB2312" w:hAnsi="仿宋_GB2312" w:cs="仿宋_GB2312" w:hint="eastAsia"/>
          <w:sz w:val="32"/>
          <w:szCs w:val="32"/>
        </w:rPr>
        <w:t>建设的标准。本标准的制定填补了这一领域的空白，在技术内容上结合粤港澳大湾区的特点，为智慧城市</w:t>
      </w:r>
      <w:r>
        <w:rPr>
          <w:rFonts w:ascii="仿宋_GB2312" w:eastAsia="仿宋_GB2312" w:hAnsi="仿宋_GB2312" w:cs="仿宋_GB2312" w:hint="eastAsia"/>
          <w:sz w:val="32"/>
          <w:szCs w:val="32"/>
        </w:rPr>
        <w:t>感知体系物模型</w:t>
      </w:r>
      <w:r>
        <w:rPr>
          <w:rFonts w:ascii="仿宋_GB2312" w:eastAsia="仿宋_GB2312" w:hAnsi="仿宋_GB2312" w:cs="仿宋_GB2312" w:hint="eastAsia"/>
          <w:sz w:val="32"/>
          <w:szCs w:val="32"/>
        </w:rPr>
        <w:t>建设工程提供了全面、系统且具有地方特色的技术规范，对其他地区类似工程的防雷工作具有一定的参考价值。</w:t>
      </w:r>
    </w:p>
    <w:p w14:paraId="2B6FEDFA" w14:textId="77777777" w:rsidR="00CE49D8" w:rsidRDefault="003762A5">
      <w:pPr>
        <w:spacing w:line="560" w:lineRule="exact"/>
        <w:ind w:firstLineChars="200" w:firstLine="640"/>
        <w:jc w:val="left"/>
        <w:rPr>
          <w:rFonts w:ascii="楷体_GB2312" w:eastAsia="楷体_GB2312" w:hAnsi="楷体_GB2312" w:cs="楷体_GB2312"/>
          <w:b/>
          <w:sz w:val="32"/>
          <w:szCs w:val="32"/>
        </w:rPr>
      </w:pPr>
      <w:r>
        <w:rPr>
          <w:rFonts w:ascii="楷体_GB2312" w:eastAsia="楷体_GB2312" w:hAnsi="楷体_GB2312" w:cs="楷体_GB2312" w:hint="eastAsia"/>
          <w:b/>
          <w:sz w:val="32"/>
          <w:szCs w:val="32"/>
        </w:rPr>
        <w:t>（五）采标情况</w:t>
      </w:r>
    </w:p>
    <w:p w14:paraId="7420A695" w14:textId="77777777" w:rsidR="00CE49D8" w:rsidRDefault="003762A5">
      <w:pPr>
        <w:spacing w:line="560" w:lineRule="exact"/>
        <w:ind w:firstLineChars="200" w:firstLine="640"/>
        <w:jc w:val="left"/>
        <w:rPr>
          <w:rFonts w:ascii="黑体" w:eastAsia="黑体" w:hAnsi="黑体" w:cs="黑体"/>
          <w:kern w:val="0"/>
          <w:sz w:val="32"/>
          <w:szCs w:val="32"/>
        </w:rPr>
      </w:pPr>
      <w:r>
        <w:rPr>
          <w:rFonts w:ascii="仿宋_GB2312" w:eastAsia="仿宋_GB2312" w:hAnsi="仿宋_GB2312" w:cs="仿宋_GB2312" w:hint="eastAsia"/>
          <w:sz w:val="32"/>
          <w:szCs w:val="32"/>
        </w:rPr>
        <w:t>本标准在编制过程中，充分参考了国内外相关标准的先进技术和理念，但未直接采用或引用国际国外标准。而是根据粤港澳大湾区</w:t>
      </w:r>
      <w:r>
        <w:rPr>
          <w:rFonts w:ascii="仿宋_GB2312" w:eastAsia="仿宋_GB2312" w:hAnsi="仿宋_GB2312" w:cs="仿宋_GB2312" w:hint="eastAsia"/>
          <w:sz w:val="32"/>
          <w:szCs w:val="32"/>
        </w:rPr>
        <w:t>智慧城市感知体系物模型建设</w:t>
      </w:r>
      <w:r>
        <w:rPr>
          <w:rFonts w:ascii="仿宋_GB2312" w:eastAsia="仿宋_GB2312" w:hAnsi="仿宋_GB2312" w:cs="仿宋_GB2312" w:hint="eastAsia"/>
          <w:sz w:val="32"/>
          <w:szCs w:val="32"/>
        </w:rPr>
        <w:t>的实际情况，进行了自主创新和优化，确保标准内容符合本地</w:t>
      </w:r>
      <w:r>
        <w:rPr>
          <w:rFonts w:ascii="仿宋_GB2312" w:eastAsia="仿宋_GB2312" w:hAnsi="仿宋_GB2312" w:cs="仿宋_GB2312" w:hint="eastAsia"/>
          <w:sz w:val="32"/>
          <w:szCs w:val="32"/>
        </w:rPr>
        <w:t>实际</w:t>
      </w:r>
      <w:r>
        <w:rPr>
          <w:rFonts w:ascii="仿宋_GB2312" w:eastAsia="仿宋_GB2312" w:hAnsi="仿宋_GB2312" w:cs="仿宋_GB2312" w:hint="eastAsia"/>
          <w:sz w:val="32"/>
          <w:szCs w:val="32"/>
        </w:rPr>
        <w:t>需求，具有更强的针对性和实用性。</w:t>
      </w:r>
    </w:p>
    <w:p w14:paraId="6218684F" w14:textId="77777777" w:rsidR="00CE49D8" w:rsidRDefault="003762A5">
      <w:pPr>
        <w:adjustRightInd w:val="0"/>
        <w:spacing w:line="560" w:lineRule="exact"/>
        <w:ind w:firstLineChars="200" w:firstLine="640"/>
        <w:outlineLvl w:val="0"/>
        <w:rPr>
          <w:rFonts w:ascii="黑体" w:eastAsia="黑体" w:hAnsi="黑体" w:cs="黑体"/>
          <w:bCs/>
          <w:sz w:val="32"/>
          <w:szCs w:val="32"/>
        </w:rPr>
      </w:pPr>
      <w:r>
        <w:rPr>
          <w:rFonts w:ascii="黑体" w:eastAsia="黑体" w:hAnsi="黑体" w:cs="黑体" w:hint="eastAsia"/>
          <w:bCs/>
          <w:sz w:val="32"/>
          <w:szCs w:val="32"/>
        </w:rPr>
        <w:t>九、</w:t>
      </w:r>
      <w:r>
        <w:rPr>
          <w:rFonts w:ascii="黑体" w:eastAsia="黑体" w:hAnsi="黑体" w:cs="黑体" w:hint="eastAsia"/>
          <w:bCs/>
          <w:sz w:val="32"/>
          <w:szCs w:val="32"/>
        </w:rPr>
        <w:t>标准中涉及专利的情况</w:t>
      </w:r>
    </w:p>
    <w:p w14:paraId="390B9C74" w14:textId="77777777" w:rsidR="00CE49D8" w:rsidRDefault="003762A5">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该标准未涉及专利。</w:t>
      </w:r>
    </w:p>
    <w:p w14:paraId="231FC9C0" w14:textId="77777777" w:rsidR="00CE49D8" w:rsidRDefault="003762A5">
      <w:pPr>
        <w:adjustRightInd w:val="0"/>
        <w:spacing w:line="560" w:lineRule="exact"/>
        <w:ind w:firstLineChars="200" w:firstLine="640"/>
        <w:outlineLvl w:val="0"/>
        <w:rPr>
          <w:rFonts w:ascii="黑体" w:eastAsia="黑体" w:hAnsi="黑体" w:cs="黑体"/>
          <w:bCs/>
          <w:sz w:val="32"/>
          <w:szCs w:val="32"/>
        </w:rPr>
      </w:pPr>
      <w:r>
        <w:rPr>
          <w:rFonts w:ascii="黑体" w:eastAsia="黑体" w:hAnsi="黑体" w:cs="黑体" w:hint="eastAsia"/>
          <w:bCs/>
          <w:sz w:val="32"/>
          <w:szCs w:val="32"/>
        </w:rPr>
        <w:t>十</w:t>
      </w:r>
      <w:r>
        <w:rPr>
          <w:rFonts w:ascii="黑体" w:eastAsia="黑体" w:hAnsi="黑体" w:cs="黑体" w:hint="eastAsia"/>
          <w:bCs/>
          <w:sz w:val="32"/>
          <w:szCs w:val="32"/>
        </w:rPr>
        <w:t>、预期达到的经济效益</w:t>
      </w:r>
    </w:p>
    <w:p w14:paraId="3F888BCD" w14:textId="77777777" w:rsidR="00CE49D8" w:rsidRDefault="003762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推广应用方面，选取若干典型城市和地区进行应用示范和市场推广。一是选择若干城市，基于城市感知的业务场景，通过构建城市感知体系平台应用示范项目，为推广该标准落地应用开展验证。二是选取不同类型城市推广使用该标准，推动该标准在城市的不同场景的推广应用，实现城市感知的多部门业务协同、一体化调度联动。</w:t>
      </w:r>
    </w:p>
    <w:p w14:paraId="638BF619" w14:textId="77777777" w:rsidR="00CE49D8" w:rsidRDefault="003762A5">
      <w:pPr>
        <w:adjustRightInd w:val="0"/>
        <w:spacing w:line="560" w:lineRule="exact"/>
        <w:ind w:firstLineChars="200" w:firstLine="640"/>
        <w:outlineLvl w:val="0"/>
        <w:rPr>
          <w:rFonts w:ascii="黑体" w:eastAsia="黑体" w:hAnsi="黑体" w:cs="黑体"/>
          <w:bCs/>
          <w:sz w:val="32"/>
          <w:szCs w:val="32"/>
        </w:rPr>
      </w:pPr>
      <w:r>
        <w:rPr>
          <w:rFonts w:ascii="黑体" w:eastAsia="黑体" w:hAnsi="黑体" w:cs="黑体" w:hint="eastAsia"/>
          <w:bCs/>
          <w:sz w:val="32"/>
          <w:szCs w:val="32"/>
        </w:rPr>
        <w:t>十一</w:t>
      </w:r>
      <w:r>
        <w:rPr>
          <w:rFonts w:ascii="黑体" w:eastAsia="黑体" w:hAnsi="黑体" w:cs="黑体" w:hint="eastAsia"/>
          <w:bCs/>
          <w:sz w:val="32"/>
          <w:szCs w:val="32"/>
        </w:rPr>
        <w:t>、其它应予以说明的事项</w:t>
      </w:r>
    </w:p>
    <w:p w14:paraId="2906B402" w14:textId="77777777" w:rsidR="00CE49D8" w:rsidRDefault="003762A5">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14:paraId="72A7B4A5" w14:textId="77777777" w:rsidR="00CE49D8" w:rsidRDefault="00CE49D8">
      <w:pPr>
        <w:adjustRightInd w:val="0"/>
        <w:spacing w:line="360" w:lineRule="auto"/>
        <w:ind w:firstLineChars="200" w:firstLine="480"/>
        <w:rPr>
          <w:rFonts w:ascii="Times New Roman" w:eastAsia="宋体" w:hAnsi="Times New Roman" w:cs="Times New Roman"/>
          <w:sz w:val="24"/>
        </w:rPr>
      </w:pPr>
    </w:p>
    <w:p w14:paraId="3326BECD" w14:textId="77777777" w:rsidR="00CE49D8" w:rsidRDefault="00CE49D8">
      <w:pPr>
        <w:adjustRightInd w:val="0"/>
        <w:spacing w:line="360" w:lineRule="auto"/>
        <w:ind w:firstLineChars="200" w:firstLine="480"/>
        <w:rPr>
          <w:rFonts w:ascii="Times New Roman" w:eastAsia="宋体" w:hAnsi="Times New Roman" w:cs="Times New Roman"/>
          <w:sz w:val="24"/>
        </w:rPr>
      </w:pPr>
    </w:p>
    <w:p w14:paraId="06DBAD31" w14:textId="77777777" w:rsidR="00CE49D8" w:rsidRDefault="003762A5">
      <w:pPr>
        <w:spacing w:line="560"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《智慧城市</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城市多级联动指挥平台建设要求》</w:t>
      </w:r>
    </w:p>
    <w:p w14:paraId="4E345924" w14:textId="77777777" w:rsidR="00CE49D8" w:rsidRDefault="003762A5">
      <w:pPr>
        <w:spacing w:line="560" w:lineRule="exact"/>
        <w:ind w:firstLineChars="2000" w:firstLine="6400"/>
        <w:rPr>
          <w:rFonts w:ascii="仿宋_GB2312" w:eastAsia="仿宋_GB2312" w:hAnsi="仿宋_GB2312" w:cs="仿宋_GB2312"/>
          <w:sz w:val="32"/>
          <w:szCs w:val="32"/>
        </w:rPr>
      </w:pPr>
      <w:r>
        <w:rPr>
          <w:rFonts w:ascii="仿宋_GB2312" w:eastAsia="仿宋_GB2312" w:hAnsi="仿宋_GB2312" w:cs="仿宋_GB2312" w:hint="eastAsia"/>
          <w:sz w:val="32"/>
          <w:szCs w:val="32"/>
        </w:rPr>
        <w:t>标准编写组</w:t>
      </w:r>
    </w:p>
    <w:p w14:paraId="4010FE59" w14:textId="77777777" w:rsidR="00CE49D8" w:rsidRDefault="003762A5">
      <w:pPr>
        <w:spacing w:line="560" w:lineRule="exact"/>
        <w:ind w:firstLineChars="2000" w:firstLine="6400"/>
        <w:rPr>
          <w:rFonts w:ascii="Times New Roman" w:hAnsi="Times New Roman" w:cs="Times New Roman"/>
          <w:sz w:val="24"/>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p>
    <w:p w14:paraId="5963F42B" w14:textId="77777777" w:rsidR="00CE49D8" w:rsidRDefault="00CE49D8">
      <w:pPr>
        <w:spacing w:line="560" w:lineRule="exact"/>
        <w:ind w:firstLineChars="200" w:firstLine="640"/>
        <w:rPr>
          <w:rFonts w:ascii="仿宋_GB2312" w:eastAsia="仿宋_GB2312" w:hAnsi="仿宋_GB2312" w:cs="仿宋_GB2312"/>
          <w:sz w:val="32"/>
          <w:szCs w:val="32"/>
        </w:rPr>
      </w:pPr>
    </w:p>
    <w:p w14:paraId="2AC24FA1" w14:textId="77777777" w:rsidR="00CE49D8" w:rsidRDefault="00CE49D8">
      <w:pPr>
        <w:spacing w:line="560" w:lineRule="exact"/>
        <w:ind w:firstLineChars="200" w:firstLine="640"/>
        <w:rPr>
          <w:rFonts w:ascii="仿宋_GB2312" w:eastAsia="仿宋_GB2312" w:hAnsi="仿宋_GB2312" w:cs="仿宋_GB2312"/>
          <w:sz w:val="32"/>
          <w:szCs w:val="32"/>
        </w:rPr>
      </w:pPr>
    </w:p>
    <w:sectPr w:rsidR="00CE49D8">
      <w:headerReference w:type="default" r:id="rId9"/>
      <w:footerReference w:type="default" r:id="rId10"/>
      <w:pgSz w:w="11906" w:h="16838"/>
      <w:pgMar w:top="1440" w:right="1077" w:bottom="851" w:left="1077"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11B4A" w14:textId="77777777" w:rsidR="003762A5" w:rsidRDefault="003762A5">
      <w:r>
        <w:separator/>
      </w:r>
    </w:p>
  </w:endnote>
  <w:endnote w:type="continuationSeparator" w:id="0">
    <w:p w14:paraId="07A06E49" w14:textId="77777777" w:rsidR="003762A5" w:rsidRDefault="00376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楷体_GB2312">
    <w:altName w:val="微软雅黑"/>
    <w:charset w:val="86"/>
    <w:family w:val="auto"/>
    <w:pitch w:val="default"/>
    <w:sig w:usb0="00000001" w:usb1="080E0000" w:usb2="00000000" w:usb3="00000000" w:csb0="00040000" w:csb1="00000000"/>
  </w:font>
  <w:font w:name="方正仿宋简体">
    <w:altName w:val="微软雅黑"/>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A45F" w14:textId="77777777" w:rsidR="00CE49D8" w:rsidRDefault="003762A5">
    <w:pPr>
      <w:pStyle w:val="af2"/>
      <w:jc w:val="center"/>
    </w:pPr>
    <w:r>
      <w:rPr>
        <w:b/>
        <w:sz w:val="24"/>
        <w:szCs w:val="24"/>
      </w:rPr>
      <w:fldChar w:fldCharType="begin"/>
    </w:r>
    <w:r>
      <w:rPr>
        <w:b/>
      </w:rPr>
      <w:instrText>PAGE</w:instrText>
    </w:r>
    <w:r>
      <w:rPr>
        <w:b/>
        <w:sz w:val="24"/>
        <w:szCs w:val="24"/>
      </w:rPr>
      <w:fldChar w:fldCharType="separate"/>
    </w:r>
    <w:r>
      <w:rPr>
        <w:b/>
      </w:rPr>
      <w:t>7</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Pr>
        <w:b/>
      </w:rPr>
      <w:t>7</w:t>
    </w:r>
    <w:r>
      <w:rPr>
        <w:b/>
        <w:sz w:val="24"/>
        <w:szCs w:val="24"/>
      </w:rPr>
      <w:fldChar w:fldCharType="end"/>
    </w:r>
  </w:p>
  <w:p w14:paraId="16985725" w14:textId="77777777" w:rsidR="00CE49D8" w:rsidRDefault="00CE49D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568C5" w14:textId="77777777" w:rsidR="003762A5" w:rsidRDefault="003762A5">
      <w:r>
        <w:separator/>
      </w:r>
    </w:p>
  </w:footnote>
  <w:footnote w:type="continuationSeparator" w:id="0">
    <w:p w14:paraId="54AA7EAE" w14:textId="77777777" w:rsidR="003762A5" w:rsidRDefault="00376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87853" w14:textId="77777777" w:rsidR="00CE49D8" w:rsidRDefault="00CE49D8">
    <w:pPr>
      <w:pStyle w:val="af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567"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2.2.5.3.%5　"/>
      <w:lvlJc w:val="left"/>
      <w:pPr>
        <w:ind w:left="426"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22827D5B"/>
    <w:multiLevelType w:val="multilevel"/>
    <w:tmpl w:val="22827D5B"/>
    <w:lvl w:ilvl="0">
      <w:start w:val="1"/>
      <w:numFmt w:val="none"/>
      <w:pStyle w:val="a4"/>
      <w:suff w:val="nothing"/>
      <w:lvlText w:val="%1注："/>
      <w:lvlJc w:val="left"/>
      <w:pPr>
        <w:ind w:left="363"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 w15:restartNumberingAfterBreak="0">
    <w:nsid w:val="2A8F7113"/>
    <w:multiLevelType w:val="multilevel"/>
    <w:tmpl w:val="2A8F7113"/>
    <w:lvl w:ilvl="0">
      <w:start w:val="1"/>
      <w:numFmt w:val="upperLetter"/>
      <w:pStyle w:val="a5"/>
      <w:suff w:val="space"/>
      <w:lvlText w:val="%1"/>
      <w:lvlJc w:val="left"/>
      <w:pPr>
        <w:ind w:left="623" w:hanging="425"/>
      </w:pPr>
      <w:rPr>
        <w:rFonts w:hint="eastAsia"/>
      </w:rPr>
    </w:lvl>
    <w:lvl w:ilvl="1">
      <w:start w:val="1"/>
      <w:numFmt w:val="decimal"/>
      <w:pStyle w:val="a6"/>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oNotDisplayPageBoundari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6FD8"/>
    <w:rsid w:val="00000200"/>
    <w:rsid w:val="0000483C"/>
    <w:rsid w:val="00004BB1"/>
    <w:rsid w:val="000066A8"/>
    <w:rsid w:val="00011051"/>
    <w:rsid w:val="00015133"/>
    <w:rsid w:val="0002495F"/>
    <w:rsid w:val="00024EB9"/>
    <w:rsid w:val="00025E89"/>
    <w:rsid w:val="00025ED3"/>
    <w:rsid w:val="00026B99"/>
    <w:rsid w:val="00030AC6"/>
    <w:rsid w:val="00034F24"/>
    <w:rsid w:val="00037B1F"/>
    <w:rsid w:val="00040775"/>
    <w:rsid w:val="0004126E"/>
    <w:rsid w:val="0004378D"/>
    <w:rsid w:val="000455B3"/>
    <w:rsid w:val="0004641F"/>
    <w:rsid w:val="000575E7"/>
    <w:rsid w:val="00060EFD"/>
    <w:rsid w:val="00064A42"/>
    <w:rsid w:val="00064AFC"/>
    <w:rsid w:val="0006647B"/>
    <w:rsid w:val="00067C1C"/>
    <w:rsid w:val="00072D10"/>
    <w:rsid w:val="0007341F"/>
    <w:rsid w:val="0007686B"/>
    <w:rsid w:val="000801A5"/>
    <w:rsid w:val="000820A7"/>
    <w:rsid w:val="00083308"/>
    <w:rsid w:val="0008503D"/>
    <w:rsid w:val="00085B39"/>
    <w:rsid w:val="00087F76"/>
    <w:rsid w:val="000946A7"/>
    <w:rsid w:val="000947A1"/>
    <w:rsid w:val="000A0C68"/>
    <w:rsid w:val="000A24B5"/>
    <w:rsid w:val="000A2BCB"/>
    <w:rsid w:val="000A2ED9"/>
    <w:rsid w:val="000A64F2"/>
    <w:rsid w:val="000B1AC9"/>
    <w:rsid w:val="000B25F9"/>
    <w:rsid w:val="000B2634"/>
    <w:rsid w:val="000B615E"/>
    <w:rsid w:val="000C070A"/>
    <w:rsid w:val="000C5EBD"/>
    <w:rsid w:val="000C618E"/>
    <w:rsid w:val="000D104D"/>
    <w:rsid w:val="000D341C"/>
    <w:rsid w:val="000D39D4"/>
    <w:rsid w:val="000D3DC7"/>
    <w:rsid w:val="000D53B5"/>
    <w:rsid w:val="000E27DC"/>
    <w:rsid w:val="000E28A7"/>
    <w:rsid w:val="000E6CBE"/>
    <w:rsid w:val="000E7B0F"/>
    <w:rsid w:val="000F3047"/>
    <w:rsid w:val="000F3F98"/>
    <w:rsid w:val="000F42DA"/>
    <w:rsid w:val="000F47C1"/>
    <w:rsid w:val="0010616E"/>
    <w:rsid w:val="0010618C"/>
    <w:rsid w:val="001165B2"/>
    <w:rsid w:val="00116D50"/>
    <w:rsid w:val="00120FF3"/>
    <w:rsid w:val="001235F9"/>
    <w:rsid w:val="001236A0"/>
    <w:rsid w:val="00123D8E"/>
    <w:rsid w:val="00124698"/>
    <w:rsid w:val="00130DE9"/>
    <w:rsid w:val="00132108"/>
    <w:rsid w:val="0013368C"/>
    <w:rsid w:val="00133866"/>
    <w:rsid w:val="00135F0A"/>
    <w:rsid w:val="00136AC8"/>
    <w:rsid w:val="00141370"/>
    <w:rsid w:val="001422AC"/>
    <w:rsid w:val="00142B8F"/>
    <w:rsid w:val="00143D0F"/>
    <w:rsid w:val="001443F2"/>
    <w:rsid w:val="00147D67"/>
    <w:rsid w:val="001508D5"/>
    <w:rsid w:val="00151276"/>
    <w:rsid w:val="00152BA4"/>
    <w:rsid w:val="001628E6"/>
    <w:rsid w:val="001648DC"/>
    <w:rsid w:val="00164F0C"/>
    <w:rsid w:val="0017009C"/>
    <w:rsid w:val="00172BA7"/>
    <w:rsid w:val="0017564D"/>
    <w:rsid w:val="0018075E"/>
    <w:rsid w:val="001822BC"/>
    <w:rsid w:val="00183173"/>
    <w:rsid w:val="00186AC5"/>
    <w:rsid w:val="00186F7A"/>
    <w:rsid w:val="001978D8"/>
    <w:rsid w:val="001A02E9"/>
    <w:rsid w:val="001A3BD4"/>
    <w:rsid w:val="001A3CB5"/>
    <w:rsid w:val="001A5AD0"/>
    <w:rsid w:val="001A6160"/>
    <w:rsid w:val="001A77D7"/>
    <w:rsid w:val="001B0FDD"/>
    <w:rsid w:val="001B1E43"/>
    <w:rsid w:val="001B27BF"/>
    <w:rsid w:val="001B2A29"/>
    <w:rsid w:val="001B2E56"/>
    <w:rsid w:val="001B3583"/>
    <w:rsid w:val="001B6B6C"/>
    <w:rsid w:val="001C187B"/>
    <w:rsid w:val="001C38C5"/>
    <w:rsid w:val="001C39D1"/>
    <w:rsid w:val="001C3B5A"/>
    <w:rsid w:val="001C4059"/>
    <w:rsid w:val="001C4383"/>
    <w:rsid w:val="001C6F1C"/>
    <w:rsid w:val="001D6BEF"/>
    <w:rsid w:val="001D742B"/>
    <w:rsid w:val="001E0642"/>
    <w:rsid w:val="001E1253"/>
    <w:rsid w:val="001E5037"/>
    <w:rsid w:val="001E50CA"/>
    <w:rsid w:val="001E5F01"/>
    <w:rsid w:val="001E6E3F"/>
    <w:rsid w:val="001E7CA9"/>
    <w:rsid w:val="001F5062"/>
    <w:rsid w:val="00201BA1"/>
    <w:rsid w:val="00202927"/>
    <w:rsid w:val="00212FA8"/>
    <w:rsid w:val="00214789"/>
    <w:rsid w:val="002222B7"/>
    <w:rsid w:val="002320F1"/>
    <w:rsid w:val="002348F8"/>
    <w:rsid w:val="00240ED7"/>
    <w:rsid w:val="002414AD"/>
    <w:rsid w:val="0024319C"/>
    <w:rsid w:val="00246EA6"/>
    <w:rsid w:val="00253AB1"/>
    <w:rsid w:val="002548D4"/>
    <w:rsid w:val="0025671C"/>
    <w:rsid w:val="00256ABD"/>
    <w:rsid w:val="00257D97"/>
    <w:rsid w:val="00261FB9"/>
    <w:rsid w:val="00261FD9"/>
    <w:rsid w:val="002651FB"/>
    <w:rsid w:val="00272A50"/>
    <w:rsid w:val="002733EB"/>
    <w:rsid w:val="00283493"/>
    <w:rsid w:val="0028490B"/>
    <w:rsid w:val="00285DC6"/>
    <w:rsid w:val="00290834"/>
    <w:rsid w:val="00290D03"/>
    <w:rsid w:val="0029174B"/>
    <w:rsid w:val="00295AFB"/>
    <w:rsid w:val="002A0185"/>
    <w:rsid w:val="002A6A5C"/>
    <w:rsid w:val="002A6C91"/>
    <w:rsid w:val="002A7EFC"/>
    <w:rsid w:val="002B1397"/>
    <w:rsid w:val="002B1950"/>
    <w:rsid w:val="002B62C3"/>
    <w:rsid w:val="002B664A"/>
    <w:rsid w:val="002B7B66"/>
    <w:rsid w:val="002C06A1"/>
    <w:rsid w:val="002C384F"/>
    <w:rsid w:val="002D1142"/>
    <w:rsid w:val="002D2062"/>
    <w:rsid w:val="002E060F"/>
    <w:rsid w:val="002E1490"/>
    <w:rsid w:val="002E2A83"/>
    <w:rsid w:val="002E41C6"/>
    <w:rsid w:val="002F0561"/>
    <w:rsid w:val="002F079F"/>
    <w:rsid w:val="002F0B1C"/>
    <w:rsid w:val="00303375"/>
    <w:rsid w:val="00306789"/>
    <w:rsid w:val="003070F1"/>
    <w:rsid w:val="003202D0"/>
    <w:rsid w:val="00325738"/>
    <w:rsid w:val="00326E2C"/>
    <w:rsid w:val="003279E5"/>
    <w:rsid w:val="00327FBC"/>
    <w:rsid w:val="00330864"/>
    <w:rsid w:val="00332FBA"/>
    <w:rsid w:val="003330EB"/>
    <w:rsid w:val="003342E9"/>
    <w:rsid w:val="003376EE"/>
    <w:rsid w:val="00347F25"/>
    <w:rsid w:val="0035145F"/>
    <w:rsid w:val="00352C46"/>
    <w:rsid w:val="00357340"/>
    <w:rsid w:val="00362AA8"/>
    <w:rsid w:val="00366F63"/>
    <w:rsid w:val="00367F1F"/>
    <w:rsid w:val="00370DD1"/>
    <w:rsid w:val="00371A9A"/>
    <w:rsid w:val="003739D4"/>
    <w:rsid w:val="00373AB1"/>
    <w:rsid w:val="0037507C"/>
    <w:rsid w:val="00375FA5"/>
    <w:rsid w:val="003762A5"/>
    <w:rsid w:val="003765DC"/>
    <w:rsid w:val="003818B2"/>
    <w:rsid w:val="003904B8"/>
    <w:rsid w:val="0039261E"/>
    <w:rsid w:val="0039356E"/>
    <w:rsid w:val="00395988"/>
    <w:rsid w:val="00395BA6"/>
    <w:rsid w:val="003975E4"/>
    <w:rsid w:val="003A63C9"/>
    <w:rsid w:val="003B29CB"/>
    <w:rsid w:val="003B2D13"/>
    <w:rsid w:val="003B2F69"/>
    <w:rsid w:val="003B365F"/>
    <w:rsid w:val="003B52B5"/>
    <w:rsid w:val="003C0AA4"/>
    <w:rsid w:val="003C3398"/>
    <w:rsid w:val="003C5628"/>
    <w:rsid w:val="003D11F0"/>
    <w:rsid w:val="003D2A5F"/>
    <w:rsid w:val="003D2D08"/>
    <w:rsid w:val="003D4011"/>
    <w:rsid w:val="003D4214"/>
    <w:rsid w:val="003D57DD"/>
    <w:rsid w:val="003D58AD"/>
    <w:rsid w:val="003E0FF7"/>
    <w:rsid w:val="003E496D"/>
    <w:rsid w:val="003F2C97"/>
    <w:rsid w:val="00400025"/>
    <w:rsid w:val="00401357"/>
    <w:rsid w:val="00406061"/>
    <w:rsid w:val="00411CAE"/>
    <w:rsid w:val="00411E47"/>
    <w:rsid w:val="00412DBA"/>
    <w:rsid w:val="004145FC"/>
    <w:rsid w:val="00416CF5"/>
    <w:rsid w:val="0042094E"/>
    <w:rsid w:val="004211AD"/>
    <w:rsid w:val="004270E1"/>
    <w:rsid w:val="004272AD"/>
    <w:rsid w:val="00431F52"/>
    <w:rsid w:val="00432C4D"/>
    <w:rsid w:val="00432EA0"/>
    <w:rsid w:val="004371DE"/>
    <w:rsid w:val="00445AD7"/>
    <w:rsid w:val="004461FB"/>
    <w:rsid w:val="00446205"/>
    <w:rsid w:val="0044637E"/>
    <w:rsid w:val="004501A4"/>
    <w:rsid w:val="00450924"/>
    <w:rsid w:val="00452FA5"/>
    <w:rsid w:val="004556C9"/>
    <w:rsid w:val="00457054"/>
    <w:rsid w:val="00457276"/>
    <w:rsid w:val="004602FF"/>
    <w:rsid w:val="004611F2"/>
    <w:rsid w:val="00462BF4"/>
    <w:rsid w:val="00462CF7"/>
    <w:rsid w:val="00474956"/>
    <w:rsid w:val="0048048C"/>
    <w:rsid w:val="004814E2"/>
    <w:rsid w:val="004865A0"/>
    <w:rsid w:val="00492BEB"/>
    <w:rsid w:val="00494BFF"/>
    <w:rsid w:val="004955DD"/>
    <w:rsid w:val="0049636F"/>
    <w:rsid w:val="004A2789"/>
    <w:rsid w:val="004A3751"/>
    <w:rsid w:val="004B44B4"/>
    <w:rsid w:val="004B4FCA"/>
    <w:rsid w:val="004B7362"/>
    <w:rsid w:val="004C5288"/>
    <w:rsid w:val="004C5E9B"/>
    <w:rsid w:val="004C7803"/>
    <w:rsid w:val="004D5F9A"/>
    <w:rsid w:val="004E020C"/>
    <w:rsid w:val="004E0963"/>
    <w:rsid w:val="004E1504"/>
    <w:rsid w:val="004E2EE3"/>
    <w:rsid w:val="004E6393"/>
    <w:rsid w:val="004F21AE"/>
    <w:rsid w:val="004F5053"/>
    <w:rsid w:val="005006FB"/>
    <w:rsid w:val="005038A4"/>
    <w:rsid w:val="00504A60"/>
    <w:rsid w:val="00506DC1"/>
    <w:rsid w:val="005106CF"/>
    <w:rsid w:val="00511A43"/>
    <w:rsid w:val="005203DA"/>
    <w:rsid w:val="00521AA9"/>
    <w:rsid w:val="005224C4"/>
    <w:rsid w:val="005306BA"/>
    <w:rsid w:val="00532083"/>
    <w:rsid w:val="00534795"/>
    <w:rsid w:val="00536423"/>
    <w:rsid w:val="00541EDE"/>
    <w:rsid w:val="005464D1"/>
    <w:rsid w:val="005467A3"/>
    <w:rsid w:val="00551BA4"/>
    <w:rsid w:val="00563DC6"/>
    <w:rsid w:val="005703D7"/>
    <w:rsid w:val="00571515"/>
    <w:rsid w:val="00573DC9"/>
    <w:rsid w:val="00573E1A"/>
    <w:rsid w:val="00581668"/>
    <w:rsid w:val="00587CF9"/>
    <w:rsid w:val="00592E86"/>
    <w:rsid w:val="00593803"/>
    <w:rsid w:val="00597021"/>
    <w:rsid w:val="005A5374"/>
    <w:rsid w:val="005A5E7D"/>
    <w:rsid w:val="005B463E"/>
    <w:rsid w:val="005B5F80"/>
    <w:rsid w:val="005B6CE5"/>
    <w:rsid w:val="005B7E83"/>
    <w:rsid w:val="005C00A6"/>
    <w:rsid w:val="005C0486"/>
    <w:rsid w:val="005C06DF"/>
    <w:rsid w:val="005C7A88"/>
    <w:rsid w:val="005D0838"/>
    <w:rsid w:val="005D2740"/>
    <w:rsid w:val="005D6EF7"/>
    <w:rsid w:val="005E4A7E"/>
    <w:rsid w:val="005E775E"/>
    <w:rsid w:val="005E7B95"/>
    <w:rsid w:val="005F07F4"/>
    <w:rsid w:val="005F2EDE"/>
    <w:rsid w:val="005F7688"/>
    <w:rsid w:val="00602CAE"/>
    <w:rsid w:val="006055AF"/>
    <w:rsid w:val="006065D0"/>
    <w:rsid w:val="00606895"/>
    <w:rsid w:val="00612358"/>
    <w:rsid w:val="00615371"/>
    <w:rsid w:val="00623EC6"/>
    <w:rsid w:val="00625D0A"/>
    <w:rsid w:val="00630C70"/>
    <w:rsid w:val="006323D5"/>
    <w:rsid w:val="00632E80"/>
    <w:rsid w:val="00634BBA"/>
    <w:rsid w:val="00636BC6"/>
    <w:rsid w:val="006370BB"/>
    <w:rsid w:val="00637E37"/>
    <w:rsid w:val="00642DCD"/>
    <w:rsid w:val="00643B04"/>
    <w:rsid w:val="00646BB3"/>
    <w:rsid w:val="00646C28"/>
    <w:rsid w:val="006508A5"/>
    <w:rsid w:val="00656727"/>
    <w:rsid w:val="00657BAB"/>
    <w:rsid w:val="006634F3"/>
    <w:rsid w:val="00665804"/>
    <w:rsid w:val="00672341"/>
    <w:rsid w:val="00674F80"/>
    <w:rsid w:val="0068245B"/>
    <w:rsid w:val="006828C9"/>
    <w:rsid w:val="006830E5"/>
    <w:rsid w:val="00684D10"/>
    <w:rsid w:val="006874F4"/>
    <w:rsid w:val="0068771C"/>
    <w:rsid w:val="00691D9D"/>
    <w:rsid w:val="00691DF5"/>
    <w:rsid w:val="006A300C"/>
    <w:rsid w:val="006A4FD7"/>
    <w:rsid w:val="006B3A9F"/>
    <w:rsid w:val="006B7C2A"/>
    <w:rsid w:val="006C69EC"/>
    <w:rsid w:val="006D2B41"/>
    <w:rsid w:val="006D3A32"/>
    <w:rsid w:val="006D427D"/>
    <w:rsid w:val="006D5544"/>
    <w:rsid w:val="006D6B26"/>
    <w:rsid w:val="006D6C94"/>
    <w:rsid w:val="006D7289"/>
    <w:rsid w:val="006E159A"/>
    <w:rsid w:val="006E2EA8"/>
    <w:rsid w:val="006E3634"/>
    <w:rsid w:val="006E4580"/>
    <w:rsid w:val="006F1F79"/>
    <w:rsid w:val="006F350A"/>
    <w:rsid w:val="006F7156"/>
    <w:rsid w:val="00702337"/>
    <w:rsid w:val="007035FE"/>
    <w:rsid w:val="007046A7"/>
    <w:rsid w:val="00704887"/>
    <w:rsid w:val="007051B5"/>
    <w:rsid w:val="007056D6"/>
    <w:rsid w:val="00715280"/>
    <w:rsid w:val="00715297"/>
    <w:rsid w:val="00715444"/>
    <w:rsid w:val="007230C8"/>
    <w:rsid w:val="0072378B"/>
    <w:rsid w:val="007247E0"/>
    <w:rsid w:val="007247F7"/>
    <w:rsid w:val="00730A13"/>
    <w:rsid w:val="007323EA"/>
    <w:rsid w:val="00733558"/>
    <w:rsid w:val="00734624"/>
    <w:rsid w:val="00734682"/>
    <w:rsid w:val="007364AB"/>
    <w:rsid w:val="0073690B"/>
    <w:rsid w:val="007426D7"/>
    <w:rsid w:val="00743464"/>
    <w:rsid w:val="007456E7"/>
    <w:rsid w:val="007471AF"/>
    <w:rsid w:val="007477DA"/>
    <w:rsid w:val="00753D29"/>
    <w:rsid w:val="00754539"/>
    <w:rsid w:val="00756789"/>
    <w:rsid w:val="00760EE0"/>
    <w:rsid w:val="0076654F"/>
    <w:rsid w:val="0078022A"/>
    <w:rsid w:val="00780E1F"/>
    <w:rsid w:val="007818F9"/>
    <w:rsid w:val="00785DB6"/>
    <w:rsid w:val="00790F0B"/>
    <w:rsid w:val="007921AC"/>
    <w:rsid w:val="00794690"/>
    <w:rsid w:val="0079518F"/>
    <w:rsid w:val="00795405"/>
    <w:rsid w:val="00795444"/>
    <w:rsid w:val="0079786B"/>
    <w:rsid w:val="007A22CE"/>
    <w:rsid w:val="007A4FF0"/>
    <w:rsid w:val="007A5950"/>
    <w:rsid w:val="007B22FA"/>
    <w:rsid w:val="007B5131"/>
    <w:rsid w:val="007B6183"/>
    <w:rsid w:val="007B73A3"/>
    <w:rsid w:val="007C06D5"/>
    <w:rsid w:val="007C082F"/>
    <w:rsid w:val="007C19DA"/>
    <w:rsid w:val="007C397C"/>
    <w:rsid w:val="007C54DA"/>
    <w:rsid w:val="007C74C2"/>
    <w:rsid w:val="007D27B6"/>
    <w:rsid w:val="007D49CC"/>
    <w:rsid w:val="007D5C2F"/>
    <w:rsid w:val="007D60B7"/>
    <w:rsid w:val="007D663E"/>
    <w:rsid w:val="007D6C3B"/>
    <w:rsid w:val="007E1811"/>
    <w:rsid w:val="007E1B84"/>
    <w:rsid w:val="007E6B15"/>
    <w:rsid w:val="007F09D3"/>
    <w:rsid w:val="007F7E6A"/>
    <w:rsid w:val="00800885"/>
    <w:rsid w:val="0080151C"/>
    <w:rsid w:val="0080323B"/>
    <w:rsid w:val="008125F1"/>
    <w:rsid w:val="008149DA"/>
    <w:rsid w:val="00815851"/>
    <w:rsid w:val="008173F4"/>
    <w:rsid w:val="00825114"/>
    <w:rsid w:val="00827875"/>
    <w:rsid w:val="00836234"/>
    <w:rsid w:val="00836A3B"/>
    <w:rsid w:val="00837C7C"/>
    <w:rsid w:val="008428B9"/>
    <w:rsid w:val="00843097"/>
    <w:rsid w:val="00843E0E"/>
    <w:rsid w:val="008441D9"/>
    <w:rsid w:val="00845F98"/>
    <w:rsid w:val="00847771"/>
    <w:rsid w:val="0084781E"/>
    <w:rsid w:val="008565F8"/>
    <w:rsid w:val="008618E7"/>
    <w:rsid w:val="00867576"/>
    <w:rsid w:val="008711B0"/>
    <w:rsid w:val="008749DF"/>
    <w:rsid w:val="00876586"/>
    <w:rsid w:val="00892061"/>
    <w:rsid w:val="0089210F"/>
    <w:rsid w:val="00896828"/>
    <w:rsid w:val="00897D78"/>
    <w:rsid w:val="008A0626"/>
    <w:rsid w:val="008A1301"/>
    <w:rsid w:val="008A2CD6"/>
    <w:rsid w:val="008A52EC"/>
    <w:rsid w:val="008A5A2B"/>
    <w:rsid w:val="008B0161"/>
    <w:rsid w:val="008B2BE1"/>
    <w:rsid w:val="008B36C4"/>
    <w:rsid w:val="008C14BC"/>
    <w:rsid w:val="008C32A8"/>
    <w:rsid w:val="008C3F24"/>
    <w:rsid w:val="008C440B"/>
    <w:rsid w:val="008C4D13"/>
    <w:rsid w:val="008C5A1A"/>
    <w:rsid w:val="008C6CB7"/>
    <w:rsid w:val="008C72DC"/>
    <w:rsid w:val="008C7BB7"/>
    <w:rsid w:val="008D0DD7"/>
    <w:rsid w:val="008D1EF8"/>
    <w:rsid w:val="008D2CED"/>
    <w:rsid w:val="008D6CD4"/>
    <w:rsid w:val="008E11EA"/>
    <w:rsid w:val="008E2C42"/>
    <w:rsid w:val="008E35D7"/>
    <w:rsid w:val="008E4883"/>
    <w:rsid w:val="008E4E26"/>
    <w:rsid w:val="008E50DA"/>
    <w:rsid w:val="008E641E"/>
    <w:rsid w:val="008E6D2E"/>
    <w:rsid w:val="008E6E9B"/>
    <w:rsid w:val="008E6F02"/>
    <w:rsid w:val="008E7663"/>
    <w:rsid w:val="008F3A8F"/>
    <w:rsid w:val="008F6A2D"/>
    <w:rsid w:val="008F6BA1"/>
    <w:rsid w:val="008F7173"/>
    <w:rsid w:val="008F71B5"/>
    <w:rsid w:val="008F7E0B"/>
    <w:rsid w:val="00901B2A"/>
    <w:rsid w:val="00903318"/>
    <w:rsid w:val="00904E1D"/>
    <w:rsid w:val="00906020"/>
    <w:rsid w:val="0091283B"/>
    <w:rsid w:val="00912C95"/>
    <w:rsid w:val="0091734B"/>
    <w:rsid w:val="00917812"/>
    <w:rsid w:val="0092745A"/>
    <w:rsid w:val="009351AE"/>
    <w:rsid w:val="0093713A"/>
    <w:rsid w:val="0094090E"/>
    <w:rsid w:val="009433C0"/>
    <w:rsid w:val="009456E9"/>
    <w:rsid w:val="00945EC1"/>
    <w:rsid w:val="00947240"/>
    <w:rsid w:val="009475AE"/>
    <w:rsid w:val="009500B9"/>
    <w:rsid w:val="00950CB9"/>
    <w:rsid w:val="00954457"/>
    <w:rsid w:val="00954EAD"/>
    <w:rsid w:val="00960394"/>
    <w:rsid w:val="00962E30"/>
    <w:rsid w:val="009730AF"/>
    <w:rsid w:val="00973448"/>
    <w:rsid w:val="009747C9"/>
    <w:rsid w:val="00982960"/>
    <w:rsid w:val="009904F9"/>
    <w:rsid w:val="00992D34"/>
    <w:rsid w:val="009978C3"/>
    <w:rsid w:val="009A02CD"/>
    <w:rsid w:val="009A1BBE"/>
    <w:rsid w:val="009A32BD"/>
    <w:rsid w:val="009A6885"/>
    <w:rsid w:val="009B58A7"/>
    <w:rsid w:val="009C0C66"/>
    <w:rsid w:val="009C5A34"/>
    <w:rsid w:val="009C65E1"/>
    <w:rsid w:val="009D1CE0"/>
    <w:rsid w:val="009D639E"/>
    <w:rsid w:val="009E0140"/>
    <w:rsid w:val="009E196D"/>
    <w:rsid w:val="009E2925"/>
    <w:rsid w:val="009E5032"/>
    <w:rsid w:val="009E5CAC"/>
    <w:rsid w:val="009F09EA"/>
    <w:rsid w:val="009F1B5A"/>
    <w:rsid w:val="009F1B9C"/>
    <w:rsid w:val="009F4359"/>
    <w:rsid w:val="00A0752B"/>
    <w:rsid w:val="00A106CA"/>
    <w:rsid w:val="00A14418"/>
    <w:rsid w:val="00A169B5"/>
    <w:rsid w:val="00A171D7"/>
    <w:rsid w:val="00A17397"/>
    <w:rsid w:val="00A22A97"/>
    <w:rsid w:val="00A24363"/>
    <w:rsid w:val="00A27DCD"/>
    <w:rsid w:val="00A333EB"/>
    <w:rsid w:val="00A36436"/>
    <w:rsid w:val="00A37B64"/>
    <w:rsid w:val="00A438F2"/>
    <w:rsid w:val="00A47ACB"/>
    <w:rsid w:val="00A524B4"/>
    <w:rsid w:val="00A53BD6"/>
    <w:rsid w:val="00A55DBA"/>
    <w:rsid w:val="00A55DDC"/>
    <w:rsid w:val="00A6604C"/>
    <w:rsid w:val="00A67118"/>
    <w:rsid w:val="00A67D3C"/>
    <w:rsid w:val="00A72227"/>
    <w:rsid w:val="00A73B52"/>
    <w:rsid w:val="00A73BC6"/>
    <w:rsid w:val="00A73C77"/>
    <w:rsid w:val="00A73F08"/>
    <w:rsid w:val="00A759FA"/>
    <w:rsid w:val="00A76422"/>
    <w:rsid w:val="00A808F3"/>
    <w:rsid w:val="00A83360"/>
    <w:rsid w:val="00A83915"/>
    <w:rsid w:val="00A85417"/>
    <w:rsid w:val="00A85FC7"/>
    <w:rsid w:val="00A866FC"/>
    <w:rsid w:val="00A87127"/>
    <w:rsid w:val="00A87186"/>
    <w:rsid w:val="00A871DA"/>
    <w:rsid w:val="00A92590"/>
    <w:rsid w:val="00A92A55"/>
    <w:rsid w:val="00A94304"/>
    <w:rsid w:val="00A946EF"/>
    <w:rsid w:val="00A968B2"/>
    <w:rsid w:val="00A97CE6"/>
    <w:rsid w:val="00AA4BD7"/>
    <w:rsid w:val="00AA6422"/>
    <w:rsid w:val="00AA6DCF"/>
    <w:rsid w:val="00AB0FB1"/>
    <w:rsid w:val="00AB2812"/>
    <w:rsid w:val="00AB5D0F"/>
    <w:rsid w:val="00AC3A24"/>
    <w:rsid w:val="00AC4882"/>
    <w:rsid w:val="00AC5DC5"/>
    <w:rsid w:val="00AD4695"/>
    <w:rsid w:val="00AD4E7C"/>
    <w:rsid w:val="00AD72F0"/>
    <w:rsid w:val="00AE2C9F"/>
    <w:rsid w:val="00AF013F"/>
    <w:rsid w:val="00AF4EA9"/>
    <w:rsid w:val="00AF4FF4"/>
    <w:rsid w:val="00AF7F96"/>
    <w:rsid w:val="00B05AB6"/>
    <w:rsid w:val="00B068D3"/>
    <w:rsid w:val="00B068F3"/>
    <w:rsid w:val="00B0754B"/>
    <w:rsid w:val="00B07CD0"/>
    <w:rsid w:val="00B14BA5"/>
    <w:rsid w:val="00B161B6"/>
    <w:rsid w:val="00B20FFC"/>
    <w:rsid w:val="00B2620A"/>
    <w:rsid w:val="00B300BD"/>
    <w:rsid w:val="00B322F6"/>
    <w:rsid w:val="00B34F92"/>
    <w:rsid w:val="00B35E9D"/>
    <w:rsid w:val="00B367BB"/>
    <w:rsid w:val="00B37376"/>
    <w:rsid w:val="00B43FFD"/>
    <w:rsid w:val="00B50671"/>
    <w:rsid w:val="00B600EA"/>
    <w:rsid w:val="00B65BFB"/>
    <w:rsid w:val="00B70297"/>
    <w:rsid w:val="00B71635"/>
    <w:rsid w:val="00B7465F"/>
    <w:rsid w:val="00B821E1"/>
    <w:rsid w:val="00B82D2C"/>
    <w:rsid w:val="00B83042"/>
    <w:rsid w:val="00B85165"/>
    <w:rsid w:val="00B85742"/>
    <w:rsid w:val="00B8696D"/>
    <w:rsid w:val="00B91C4A"/>
    <w:rsid w:val="00BA1D3E"/>
    <w:rsid w:val="00BA3139"/>
    <w:rsid w:val="00BA526D"/>
    <w:rsid w:val="00BA6EB2"/>
    <w:rsid w:val="00BB0E1E"/>
    <w:rsid w:val="00BB1C8F"/>
    <w:rsid w:val="00BB1F64"/>
    <w:rsid w:val="00BB6C21"/>
    <w:rsid w:val="00BB7C6B"/>
    <w:rsid w:val="00BB7FD4"/>
    <w:rsid w:val="00BC161C"/>
    <w:rsid w:val="00BC3E94"/>
    <w:rsid w:val="00BC581C"/>
    <w:rsid w:val="00BD1305"/>
    <w:rsid w:val="00BD2E88"/>
    <w:rsid w:val="00BD790D"/>
    <w:rsid w:val="00BE3394"/>
    <w:rsid w:val="00BE6504"/>
    <w:rsid w:val="00BE656D"/>
    <w:rsid w:val="00BE7810"/>
    <w:rsid w:val="00BF04E8"/>
    <w:rsid w:val="00BF052A"/>
    <w:rsid w:val="00BF5960"/>
    <w:rsid w:val="00BF616F"/>
    <w:rsid w:val="00C0002D"/>
    <w:rsid w:val="00C0209E"/>
    <w:rsid w:val="00C0276D"/>
    <w:rsid w:val="00C048CB"/>
    <w:rsid w:val="00C04D86"/>
    <w:rsid w:val="00C11550"/>
    <w:rsid w:val="00C14A2F"/>
    <w:rsid w:val="00C14F96"/>
    <w:rsid w:val="00C1550D"/>
    <w:rsid w:val="00C2209B"/>
    <w:rsid w:val="00C23661"/>
    <w:rsid w:val="00C25682"/>
    <w:rsid w:val="00C32DAF"/>
    <w:rsid w:val="00C333E0"/>
    <w:rsid w:val="00C33727"/>
    <w:rsid w:val="00C3720E"/>
    <w:rsid w:val="00C37526"/>
    <w:rsid w:val="00C37B3A"/>
    <w:rsid w:val="00C405AA"/>
    <w:rsid w:val="00C47DA2"/>
    <w:rsid w:val="00C47E6C"/>
    <w:rsid w:val="00C51606"/>
    <w:rsid w:val="00C55835"/>
    <w:rsid w:val="00C60F0F"/>
    <w:rsid w:val="00C63484"/>
    <w:rsid w:val="00C655D0"/>
    <w:rsid w:val="00C65696"/>
    <w:rsid w:val="00C65A90"/>
    <w:rsid w:val="00C70112"/>
    <w:rsid w:val="00C7336C"/>
    <w:rsid w:val="00C73667"/>
    <w:rsid w:val="00C80163"/>
    <w:rsid w:val="00C820D5"/>
    <w:rsid w:val="00C82C66"/>
    <w:rsid w:val="00C83C98"/>
    <w:rsid w:val="00C8456D"/>
    <w:rsid w:val="00C9079C"/>
    <w:rsid w:val="00C91587"/>
    <w:rsid w:val="00C91F50"/>
    <w:rsid w:val="00C9284A"/>
    <w:rsid w:val="00C95668"/>
    <w:rsid w:val="00C97032"/>
    <w:rsid w:val="00CA1FFC"/>
    <w:rsid w:val="00CA2BD8"/>
    <w:rsid w:val="00CA4E79"/>
    <w:rsid w:val="00CA5EE7"/>
    <w:rsid w:val="00CA60D5"/>
    <w:rsid w:val="00CA61A5"/>
    <w:rsid w:val="00CB0B72"/>
    <w:rsid w:val="00CB1D92"/>
    <w:rsid w:val="00CB697D"/>
    <w:rsid w:val="00CB6A25"/>
    <w:rsid w:val="00CB6D97"/>
    <w:rsid w:val="00CB6FD8"/>
    <w:rsid w:val="00CC408F"/>
    <w:rsid w:val="00CC569F"/>
    <w:rsid w:val="00CD0903"/>
    <w:rsid w:val="00CD11C8"/>
    <w:rsid w:val="00CD3A12"/>
    <w:rsid w:val="00CE0735"/>
    <w:rsid w:val="00CE14C9"/>
    <w:rsid w:val="00CE31AD"/>
    <w:rsid w:val="00CE49D8"/>
    <w:rsid w:val="00CE58A8"/>
    <w:rsid w:val="00CE5A7C"/>
    <w:rsid w:val="00CE647A"/>
    <w:rsid w:val="00CF3B4F"/>
    <w:rsid w:val="00CF659A"/>
    <w:rsid w:val="00CF7062"/>
    <w:rsid w:val="00CF7110"/>
    <w:rsid w:val="00D02C2A"/>
    <w:rsid w:val="00D0339F"/>
    <w:rsid w:val="00D04345"/>
    <w:rsid w:val="00D11C12"/>
    <w:rsid w:val="00D12A22"/>
    <w:rsid w:val="00D149E8"/>
    <w:rsid w:val="00D170F0"/>
    <w:rsid w:val="00D171A8"/>
    <w:rsid w:val="00D27D15"/>
    <w:rsid w:val="00D27FC6"/>
    <w:rsid w:val="00D35EBB"/>
    <w:rsid w:val="00D41D76"/>
    <w:rsid w:val="00D44B85"/>
    <w:rsid w:val="00D458A8"/>
    <w:rsid w:val="00D513CC"/>
    <w:rsid w:val="00D51BF4"/>
    <w:rsid w:val="00D52114"/>
    <w:rsid w:val="00D53147"/>
    <w:rsid w:val="00D53B60"/>
    <w:rsid w:val="00D57450"/>
    <w:rsid w:val="00D6089D"/>
    <w:rsid w:val="00D653CE"/>
    <w:rsid w:val="00D7534E"/>
    <w:rsid w:val="00D75BDB"/>
    <w:rsid w:val="00D76378"/>
    <w:rsid w:val="00D766F2"/>
    <w:rsid w:val="00D77975"/>
    <w:rsid w:val="00D80F33"/>
    <w:rsid w:val="00D81FEB"/>
    <w:rsid w:val="00D8763C"/>
    <w:rsid w:val="00D91AAB"/>
    <w:rsid w:val="00D923E9"/>
    <w:rsid w:val="00D924F2"/>
    <w:rsid w:val="00D97F71"/>
    <w:rsid w:val="00DA00B6"/>
    <w:rsid w:val="00DA54B8"/>
    <w:rsid w:val="00DA75F9"/>
    <w:rsid w:val="00DB13AD"/>
    <w:rsid w:val="00DB1ABA"/>
    <w:rsid w:val="00DB4274"/>
    <w:rsid w:val="00DB48E5"/>
    <w:rsid w:val="00DC0DA8"/>
    <w:rsid w:val="00DC610F"/>
    <w:rsid w:val="00DD417C"/>
    <w:rsid w:val="00DD5F63"/>
    <w:rsid w:val="00DE3AEE"/>
    <w:rsid w:val="00DE5830"/>
    <w:rsid w:val="00DE6057"/>
    <w:rsid w:val="00DE6A58"/>
    <w:rsid w:val="00DF12BF"/>
    <w:rsid w:val="00DF2716"/>
    <w:rsid w:val="00DF4491"/>
    <w:rsid w:val="00DF4924"/>
    <w:rsid w:val="00DF55E1"/>
    <w:rsid w:val="00E02195"/>
    <w:rsid w:val="00E025EB"/>
    <w:rsid w:val="00E11428"/>
    <w:rsid w:val="00E11FBD"/>
    <w:rsid w:val="00E13126"/>
    <w:rsid w:val="00E1388C"/>
    <w:rsid w:val="00E13CB5"/>
    <w:rsid w:val="00E13DA2"/>
    <w:rsid w:val="00E172B5"/>
    <w:rsid w:val="00E27139"/>
    <w:rsid w:val="00E271B3"/>
    <w:rsid w:val="00E2723B"/>
    <w:rsid w:val="00E32538"/>
    <w:rsid w:val="00E3387A"/>
    <w:rsid w:val="00E33C89"/>
    <w:rsid w:val="00E359D8"/>
    <w:rsid w:val="00E37A87"/>
    <w:rsid w:val="00E40DA3"/>
    <w:rsid w:val="00E4438B"/>
    <w:rsid w:val="00E443D2"/>
    <w:rsid w:val="00E45BB1"/>
    <w:rsid w:val="00E50318"/>
    <w:rsid w:val="00E52D8E"/>
    <w:rsid w:val="00E53A2B"/>
    <w:rsid w:val="00E54BBB"/>
    <w:rsid w:val="00E603D9"/>
    <w:rsid w:val="00E675FE"/>
    <w:rsid w:val="00E67BD9"/>
    <w:rsid w:val="00E67DDE"/>
    <w:rsid w:val="00E7476B"/>
    <w:rsid w:val="00E75B2E"/>
    <w:rsid w:val="00E76E90"/>
    <w:rsid w:val="00E805BB"/>
    <w:rsid w:val="00E80858"/>
    <w:rsid w:val="00E81348"/>
    <w:rsid w:val="00E8308A"/>
    <w:rsid w:val="00E83AD6"/>
    <w:rsid w:val="00E86773"/>
    <w:rsid w:val="00E95725"/>
    <w:rsid w:val="00E96E46"/>
    <w:rsid w:val="00E970F2"/>
    <w:rsid w:val="00EA0108"/>
    <w:rsid w:val="00EA3332"/>
    <w:rsid w:val="00EA37DA"/>
    <w:rsid w:val="00EA61D1"/>
    <w:rsid w:val="00EB086F"/>
    <w:rsid w:val="00EB17BB"/>
    <w:rsid w:val="00EB3135"/>
    <w:rsid w:val="00EB4F79"/>
    <w:rsid w:val="00EB5B1D"/>
    <w:rsid w:val="00EC1B7C"/>
    <w:rsid w:val="00EC2186"/>
    <w:rsid w:val="00EC2359"/>
    <w:rsid w:val="00EC4DCF"/>
    <w:rsid w:val="00ED017E"/>
    <w:rsid w:val="00ED0FC2"/>
    <w:rsid w:val="00ED11F1"/>
    <w:rsid w:val="00ED41C6"/>
    <w:rsid w:val="00ED4BC5"/>
    <w:rsid w:val="00ED7991"/>
    <w:rsid w:val="00EE23EE"/>
    <w:rsid w:val="00EE4892"/>
    <w:rsid w:val="00EF2BCD"/>
    <w:rsid w:val="00EF5CBB"/>
    <w:rsid w:val="00F01682"/>
    <w:rsid w:val="00F03069"/>
    <w:rsid w:val="00F057E6"/>
    <w:rsid w:val="00F062C4"/>
    <w:rsid w:val="00F12673"/>
    <w:rsid w:val="00F12859"/>
    <w:rsid w:val="00F14439"/>
    <w:rsid w:val="00F20551"/>
    <w:rsid w:val="00F22849"/>
    <w:rsid w:val="00F24730"/>
    <w:rsid w:val="00F25FD9"/>
    <w:rsid w:val="00F26DFC"/>
    <w:rsid w:val="00F31A37"/>
    <w:rsid w:val="00F3394A"/>
    <w:rsid w:val="00F34380"/>
    <w:rsid w:val="00F35F06"/>
    <w:rsid w:val="00F45BA7"/>
    <w:rsid w:val="00F47BCF"/>
    <w:rsid w:val="00F47E7E"/>
    <w:rsid w:val="00F5090C"/>
    <w:rsid w:val="00F511FA"/>
    <w:rsid w:val="00F5296D"/>
    <w:rsid w:val="00F55D4A"/>
    <w:rsid w:val="00F72ECE"/>
    <w:rsid w:val="00F8125F"/>
    <w:rsid w:val="00F81FDA"/>
    <w:rsid w:val="00F83693"/>
    <w:rsid w:val="00F8736F"/>
    <w:rsid w:val="00F90D70"/>
    <w:rsid w:val="00F96C64"/>
    <w:rsid w:val="00F96F4F"/>
    <w:rsid w:val="00FA05F2"/>
    <w:rsid w:val="00FA07FB"/>
    <w:rsid w:val="00FA1549"/>
    <w:rsid w:val="00FA2C1F"/>
    <w:rsid w:val="00FA60D2"/>
    <w:rsid w:val="00FA75EA"/>
    <w:rsid w:val="00FA7A2B"/>
    <w:rsid w:val="00FB28E5"/>
    <w:rsid w:val="00FB5308"/>
    <w:rsid w:val="00FB6263"/>
    <w:rsid w:val="00FC0A15"/>
    <w:rsid w:val="00FC49AE"/>
    <w:rsid w:val="00FC6588"/>
    <w:rsid w:val="00FC6CE1"/>
    <w:rsid w:val="00FC7CEE"/>
    <w:rsid w:val="00FE03E7"/>
    <w:rsid w:val="00FE197A"/>
    <w:rsid w:val="00FE2F79"/>
    <w:rsid w:val="00FE5044"/>
    <w:rsid w:val="00FE5226"/>
    <w:rsid w:val="00FF084D"/>
    <w:rsid w:val="00FF628E"/>
    <w:rsid w:val="00FF787D"/>
    <w:rsid w:val="022655F4"/>
    <w:rsid w:val="038D3451"/>
    <w:rsid w:val="049C1B9D"/>
    <w:rsid w:val="051F632A"/>
    <w:rsid w:val="058D598A"/>
    <w:rsid w:val="09175C96"/>
    <w:rsid w:val="0A8C6210"/>
    <w:rsid w:val="0AB85DB3"/>
    <w:rsid w:val="0E190362"/>
    <w:rsid w:val="0F3975B3"/>
    <w:rsid w:val="108D4A90"/>
    <w:rsid w:val="10B65D95"/>
    <w:rsid w:val="120B2110"/>
    <w:rsid w:val="171A4BA4"/>
    <w:rsid w:val="18D314AE"/>
    <w:rsid w:val="19D674A8"/>
    <w:rsid w:val="1AFC18A6"/>
    <w:rsid w:val="1DA33B45"/>
    <w:rsid w:val="20083FA6"/>
    <w:rsid w:val="2079293B"/>
    <w:rsid w:val="207B4905"/>
    <w:rsid w:val="21AA72DA"/>
    <w:rsid w:val="22C500B9"/>
    <w:rsid w:val="25056E93"/>
    <w:rsid w:val="267C3185"/>
    <w:rsid w:val="29F23E8A"/>
    <w:rsid w:val="29FB1396"/>
    <w:rsid w:val="2A4775B4"/>
    <w:rsid w:val="2F9B0B20"/>
    <w:rsid w:val="302E2617"/>
    <w:rsid w:val="39810D86"/>
    <w:rsid w:val="3AC21656"/>
    <w:rsid w:val="3EB70DA6"/>
    <w:rsid w:val="3F43263A"/>
    <w:rsid w:val="4AA03036"/>
    <w:rsid w:val="4B3D6AD7"/>
    <w:rsid w:val="4BBC79FC"/>
    <w:rsid w:val="4D272911"/>
    <w:rsid w:val="54686973"/>
    <w:rsid w:val="550A5C7C"/>
    <w:rsid w:val="55BE0F68"/>
    <w:rsid w:val="572D17AE"/>
    <w:rsid w:val="58A27F7A"/>
    <w:rsid w:val="603B13E0"/>
    <w:rsid w:val="60501FDB"/>
    <w:rsid w:val="6EE145C9"/>
    <w:rsid w:val="6F9957DB"/>
    <w:rsid w:val="702C2AF3"/>
    <w:rsid w:val="71EF7A13"/>
    <w:rsid w:val="76D33CC8"/>
    <w:rsid w:val="7B835397"/>
    <w:rsid w:val="7D653255"/>
    <w:rsid w:val="7F160B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E1DCD"/>
  <w15:docId w15:val="{13FDB433-546B-4195-A852-FAA9BEE0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7"/>
    <w:next w:val="a7"/>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Document Map"/>
    <w:basedOn w:val="a7"/>
    <w:link w:val="ac"/>
    <w:uiPriority w:val="99"/>
    <w:semiHidden/>
    <w:unhideWhenUsed/>
    <w:rPr>
      <w:rFonts w:ascii="宋体" w:eastAsia="宋体"/>
      <w:sz w:val="18"/>
      <w:szCs w:val="18"/>
    </w:rPr>
  </w:style>
  <w:style w:type="paragraph" w:styleId="ad">
    <w:name w:val="annotation text"/>
    <w:basedOn w:val="a7"/>
    <w:link w:val="ae"/>
    <w:uiPriority w:val="99"/>
    <w:semiHidden/>
    <w:unhideWhenUsed/>
    <w:pPr>
      <w:jc w:val="left"/>
    </w:pPr>
  </w:style>
  <w:style w:type="paragraph" w:styleId="af">
    <w:name w:val="Body Text Indent"/>
    <w:basedOn w:val="a7"/>
    <w:qFormat/>
    <w:pPr>
      <w:spacing w:after="120"/>
      <w:ind w:leftChars="200" w:left="420"/>
    </w:pPr>
    <w:rPr>
      <w:rFonts w:ascii="Times New Roman" w:hAnsi="Times New Roman" w:cs="Times New Roman"/>
    </w:rPr>
  </w:style>
  <w:style w:type="paragraph" w:styleId="af0">
    <w:name w:val="Balloon Text"/>
    <w:basedOn w:val="a7"/>
    <w:link w:val="af1"/>
    <w:uiPriority w:val="99"/>
    <w:semiHidden/>
    <w:unhideWhenUsed/>
    <w:qFormat/>
    <w:rPr>
      <w:sz w:val="18"/>
      <w:szCs w:val="18"/>
    </w:rPr>
  </w:style>
  <w:style w:type="paragraph" w:styleId="af2">
    <w:name w:val="footer"/>
    <w:basedOn w:val="a7"/>
    <w:link w:val="af3"/>
    <w:uiPriority w:val="99"/>
    <w:unhideWhenUsed/>
    <w:qFormat/>
    <w:pPr>
      <w:tabs>
        <w:tab w:val="center" w:pos="4153"/>
        <w:tab w:val="right" w:pos="8306"/>
      </w:tabs>
      <w:snapToGrid w:val="0"/>
      <w:jc w:val="left"/>
    </w:pPr>
    <w:rPr>
      <w:sz w:val="18"/>
      <w:szCs w:val="18"/>
    </w:rPr>
  </w:style>
  <w:style w:type="paragraph" w:styleId="af4">
    <w:name w:val="header"/>
    <w:basedOn w:val="a7"/>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Normal (Web)"/>
    <w:basedOn w:val="a7"/>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7">
    <w:name w:val="Title"/>
    <w:basedOn w:val="a7"/>
    <w:next w:val="a7"/>
    <w:uiPriority w:val="10"/>
    <w:qFormat/>
    <w:pPr>
      <w:spacing w:before="240" w:after="60" w:line="360" w:lineRule="auto"/>
      <w:jc w:val="left"/>
      <w:outlineLvl w:val="0"/>
    </w:pPr>
    <w:rPr>
      <w:rFonts w:asciiTheme="majorHAnsi" w:eastAsia="仿宋" w:hAnsiTheme="majorHAnsi" w:cstheme="majorBidi"/>
      <w:b/>
      <w:bCs/>
      <w:sz w:val="32"/>
      <w:szCs w:val="32"/>
    </w:rPr>
  </w:style>
  <w:style w:type="paragraph" w:styleId="af8">
    <w:name w:val="annotation subject"/>
    <w:basedOn w:val="ad"/>
    <w:next w:val="ad"/>
    <w:link w:val="af9"/>
    <w:uiPriority w:val="99"/>
    <w:semiHidden/>
    <w:unhideWhenUsed/>
    <w:qFormat/>
    <w:rPr>
      <w:b/>
      <w:bCs/>
    </w:rPr>
  </w:style>
  <w:style w:type="paragraph" w:styleId="20">
    <w:name w:val="Body Text First Indent 2"/>
    <w:basedOn w:val="af"/>
    <w:qFormat/>
    <w:pPr>
      <w:ind w:firstLineChars="200" w:firstLine="420"/>
    </w:pPr>
    <w:rPr>
      <w:rFonts w:ascii="Calibri" w:eastAsia="宋体" w:hAnsi="Calibri"/>
    </w:rPr>
  </w:style>
  <w:style w:type="table" w:styleId="afa">
    <w:name w:val="Table Grid"/>
    <w:basedOn w:val="a9"/>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b">
    <w:name w:val="Hyperlink"/>
    <w:basedOn w:val="a8"/>
    <w:uiPriority w:val="99"/>
    <w:unhideWhenUsed/>
    <w:qFormat/>
    <w:rPr>
      <w:color w:val="428BCA"/>
      <w:u w:val="none"/>
      <w:shd w:val="clear" w:color="auto" w:fill="auto"/>
    </w:rPr>
  </w:style>
  <w:style w:type="character" w:styleId="afc">
    <w:name w:val="annotation reference"/>
    <w:basedOn w:val="a8"/>
    <w:uiPriority w:val="99"/>
    <w:semiHidden/>
    <w:unhideWhenUsed/>
    <w:qFormat/>
    <w:rPr>
      <w:sz w:val="21"/>
      <w:szCs w:val="21"/>
    </w:rPr>
  </w:style>
  <w:style w:type="character" w:customStyle="1" w:styleId="af5">
    <w:name w:val="页眉 字符"/>
    <w:basedOn w:val="a8"/>
    <w:link w:val="af4"/>
    <w:uiPriority w:val="99"/>
    <w:qFormat/>
    <w:rPr>
      <w:sz w:val="18"/>
      <w:szCs w:val="18"/>
    </w:rPr>
  </w:style>
  <w:style w:type="character" w:customStyle="1" w:styleId="af3">
    <w:name w:val="页脚 字符"/>
    <w:basedOn w:val="a8"/>
    <w:link w:val="af2"/>
    <w:uiPriority w:val="99"/>
    <w:qFormat/>
    <w:rPr>
      <w:sz w:val="18"/>
      <w:szCs w:val="18"/>
    </w:rPr>
  </w:style>
  <w:style w:type="character" w:customStyle="1" w:styleId="Char">
    <w:name w:val="段 Char"/>
    <w:link w:val="afd"/>
    <w:qFormat/>
    <w:rPr>
      <w:rFonts w:ascii="宋体"/>
    </w:rPr>
  </w:style>
  <w:style w:type="paragraph" w:customStyle="1" w:styleId="afd">
    <w:name w:val="段"/>
    <w:link w:val="Char"/>
    <w:qFormat/>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paragraph" w:styleId="afe">
    <w:name w:val="List Paragraph"/>
    <w:basedOn w:val="a7"/>
    <w:uiPriority w:val="34"/>
    <w:qFormat/>
    <w:pPr>
      <w:ind w:firstLineChars="200" w:firstLine="420"/>
    </w:pPr>
  </w:style>
  <w:style w:type="character" w:customStyle="1" w:styleId="ac">
    <w:name w:val="文档结构图 字符"/>
    <w:basedOn w:val="a8"/>
    <w:link w:val="ab"/>
    <w:uiPriority w:val="99"/>
    <w:semiHidden/>
    <w:qFormat/>
    <w:rPr>
      <w:rFonts w:ascii="宋体" w:eastAsia="宋体"/>
      <w:sz w:val="18"/>
      <w:szCs w:val="18"/>
    </w:rPr>
  </w:style>
  <w:style w:type="character" w:customStyle="1" w:styleId="1">
    <w:name w:val="标题1"/>
    <w:basedOn w:val="a8"/>
    <w:qFormat/>
  </w:style>
  <w:style w:type="paragraph" w:customStyle="1" w:styleId="a4">
    <w:name w:val="注：（正文）"/>
    <w:basedOn w:val="a7"/>
    <w:next w:val="afd"/>
    <w:qFormat/>
    <w:pPr>
      <w:numPr>
        <w:numId w:val="1"/>
      </w:numPr>
      <w:autoSpaceDE w:val="0"/>
      <w:autoSpaceDN w:val="0"/>
      <w:ind w:left="726"/>
    </w:pPr>
    <w:rPr>
      <w:rFonts w:ascii="宋体" w:eastAsia="宋体" w:hAnsi="Times New Roman" w:cs="Times New Roman"/>
      <w:kern w:val="0"/>
      <w:sz w:val="18"/>
      <w:szCs w:val="18"/>
    </w:rPr>
  </w:style>
  <w:style w:type="character" w:customStyle="1" w:styleId="af1">
    <w:name w:val="批注框文本 字符"/>
    <w:basedOn w:val="a8"/>
    <w:link w:val="af0"/>
    <w:uiPriority w:val="99"/>
    <w:semiHidden/>
    <w:qFormat/>
    <w:rPr>
      <w:sz w:val="18"/>
      <w:szCs w:val="18"/>
    </w:rPr>
  </w:style>
  <w:style w:type="paragraph" w:customStyle="1" w:styleId="a5">
    <w:name w:val="附录图标号"/>
    <w:basedOn w:val="a7"/>
    <w:qFormat/>
    <w:pPr>
      <w:keepNext/>
      <w:pageBreakBefore/>
      <w:widowControl/>
      <w:numPr>
        <w:numId w:val="2"/>
      </w:numPr>
      <w:spacing w:line="14" w:lineRule="exact"/>
      <w:ind w:left="0" w:firstLine="363"/>
      <w:jc w:val="center"/>
      <w:outlineLvl w:val="0"/>
    </w:pPr>
    <w:rPr>
      <w:rFonts w:ascii="Times New Roman" w:eastAsia="宋体" w:hAnsi="Times New Roman" w:cs="Times New Roman"/>
      <w:color w:val="FFFFFF"/>
      <w:szCs w:val="24"/>
    </w:rPr>
  </w:style>
  <w:style w:type="paragraph" w:customStyle="1" w:styleId="a6">
    <w:name w:val="附录图标题"/>
    <w:basedOn w:val="a7"/>
    <w:next w:val="afd"/>
    <w:qFormat/>
    <w:pPr>
      <w:numPr>
        <w:ilvl w:val="1"/>
        <w:numId w:val="2"/>
      </w:numPr>
      <w:tabs>
        <w:tab w:val="left" w:pos="363"/>
      </w:tabs>
      <w:spacing w:beforeLines="50" w:afterLines="50"/>
      <w:ind w:left="0" w:firstLine="0"/>
      <w:jc w:val="center"/>
    </w:pPr>
    <w:rPr>
      <w:rFonts w:ascii="黑体" w:eastAsia="黑体" w:hAnsi="Times New Roman" w:cs="Times New Roman"/>
      <w:szCs w:val="21"/>
    </w:rPr>
  </w:style>
  <w:style w:type="character" w:customStyle="1" w:styleId="ae">
    <w:name w:val="批注文字 字符"/>
    <w:basedOn w:val="a8"/>
    <w:link w:val="ad"/>
    <w:uiPriority w:val="99"/>
    <w:semiHidden/>
    <w:qFormat/>
  </w:style>
  <w:style w:type="character" w:customStyle="1" w:styleId="af9">
    <w:name w:val="批注主题 字符"/>
    <w:basedOn w:val="ae"/>
    <w:link w:val="af8"/>
    <w:uiPriority w:val="99"/>
    <w:semiHidden/>
    <w:qFormat/>
    <w:rPr>
      <w:b/>
      <w:bCs/>
    </w:rPr>
  </w:style>
  <w:style w:type="paragraph" w:customStyle="1" w:styleId="aff">
    <w:name w:val="正文公式编号制表符"/>
    <w:basedOn w:val="afd"/>
    <w:next w:val="afd"/>
    <w:qFormat/>
    <w:pPr>
      <w:ind w:firstLineChars="0" w:firstLine="0"/>
    </w:pPr>
    <w:rPr>
      <w:rFonts w:eastAsia="宋体" w:hAnsi="Times New Roman" w:cs="Times New Roman"/>
      <w:kern w:val="0"/>
      <w:szCs w:val="20"/>
    </w:rPr>
  </w:style>
  <w:style w:type="paragraph" w:customStyle="1" w:styleId="a0">
    <w:name w:val="一级条标题"/>
    <w:next w:val="afd"/>
    <w:qFormat/>
    <w:pPr>
      <w:numPr>
        <w:ilvl w:val="1"/>
        <w:numId w:val="3"/>
      </w:numPr>
      <w:spacing w:beforeLines="50" w:afterLines="50"/>
      <w:outlineLvl w:val="2"/>
    </w:pPr>
    <w:rPr>
      <w:rFonts w:ascii="黑体" w:eastAsia="黑体"/>
      <w:sz w:val="21"/>
      <w:szCs w:val="21"/>
    </w:rPr>
  </w:style>
  <w:style w:type="paragraph" w:customStyle="1" w:styleId="a">
    <w:name w:val="章标题"/>
    <w:next w:val="afd"/>
    <w:qFormat/>
    <w:pPr>
      <w:numPr>
        <w:numId w:val="3"/>
      </w:numPr>
      <w:spacing w:beforeLines="100" w:afterLines="100"/>
      <w:jc w:val="both"/>
      <w:outlineLvl w:val="1"/>
    </w:pPr>
    <w:rPr>
      <w:rFonts w:ascii="黑体" w:eastAsia="黑体"/>
      <w:sz w:val="21"/>
    </w:rPr>
  </w:style>
  <w:style w:type="paragraph" w:customStyle="1" w:styleId="a1">
    <w:name w:val="二级条标题"/>
    <w:basedOn w:val="a0"/>
    <w:next w:val="afd"/>
    <w:qFormat/>
    <w:pPr>
      <w:numPr>
        <w:ilvl w:val="2"/>
      </w:numPr>
      <w:spacing w:before="50" w:after="50"/>
      <w:outlineLvl w:val="3"/>
    </w:pPr>
  </w:style>
  <w:style w:type="paragraph" w:customStyle="1" w:styleId="a2">
    <w:name w:val="四级条标题"/>
    <w:basedOn w:val="a7"/>
    <w:next w:val="afd"/>
    <w:qFormat/>
    <w:pPr>
      <w:widowControl/>
      <w:numPr>
        <w:ilvl w:val="4"/>
        <w:numId w:val="3"/>
      </w:numPr>
      <w:spacing w:beforeLines="50" w:afterLines="50"/>
      <w:jc w:val="left"/>
      <w:outlineLvl w:val="5"/>
    </w:pPr>
    <w:rPr>
      <w:rFonts w:ascii="黑体" w:eastAsia="黑体" w:hAnsi="Times New Roman" w:cs="Times New Roman"/>
      <w:kern w:val="0"/>
      <w:szCs w:val="21"/>
    </w:rPr>
  </w:style>
  <w:style w:type="paragraph" w:customStyle="1" w:styleId="a3">
    <w:name w:val="五级条标题"/>
    <w:basedOn w:val="a2"/>
    <w:next w:val="afd"/>
    <w:qFormat/>
    <w:pPr>
      <w:numPr>
        <w:ilvl w:val="5"/>
      </w:numPr>
      <w:outlineLvl w:val="6"/>
    </w:pPr>
  </w:style>
  <w:style w:type="paragraph" w:customStyle="1" w:styleId="aff0">
    <w:name w:val="二级无"/>
    <w:basedOn w:val="a1"/>
    <w:qFormat/>
    <w:pPr>
      <w:spacing w:beforeLines="0" w:afterLines="0"/>
      <w:ind w:left="0"/>
    </w:pPr>
    <w:rPr>
      <w:rFonts w:ascii="宋体" w:eastAsia="宋体"/>
    </w:rPr>
  </w:style>
  <w:style w:type="character" w:styleId="aff1">
    <w:name w:val="Placeholder Text"/>
    <w:basedOn w:val="a8"/>
    <w:uiPriority w:val="99"/>
    <w:semiHidden/>
    <w:qFormat/>
    <w:rPr>
      <w:color w:val="808080"/>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paragraph" w:customStyle="1" w:styleId="aff2">
    <w:name w:val="标准文件_段"/>
    <w:link w:val="Char0"/>
    <w:qFormat/>
    <w:pPr>
      <w:autoSpaceDE w:val="0"/>
      <w:autoSpaceDN w:val="0"/>
      <w:ind w:firstLineChars="200" w:firstLine="200"/>
      <w:jc w:val="both"/>
    </w:pPr>
    <w:rPr>
      <w:rFonts w:ascii="宋体"/>
      <w:sz w:val="21"/>
    </w:rPr>
  </w:style>
  <w:style w:type="character" w:customStyle="1" w:styleId="Char0">
    <w:name w:val="标准文件_段 Char"/>
    <w:link w:val="aff2"/>
    <w:qFormat/>
    <w:rPr>
      <w:rFonts w:ascii="宋体"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64A42-85C9-4035-A5EE-B67524C59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701</Words>
  <Characters>3999</Characters>
  <Application>Microsoft Office Word</Application>
  <DocSecurity>0</DocSecurity>
  <Lines>33</Lines>
  <Paragraphs>9</Paragraphs>
  <ScaleCrop>false</ScaleCrop>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JinKo</dc:creator>
  <cp:lastModifiedBy>Cuihao (EBG)</cp:lastModifiedBy>
  <cp:revision>151</cp:revision>
  <dcterms:created xsi:type="dcterms:W3CDTF">2020-07-20T02:56:00Z</dcterms:created>
  <dcterms:modified xsi:type="dcterms:W3CDTF">2025-08-06T01:15:00Z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(3)btVO/G0zQNtV1mGpR3+fUoSMexA0Xo9hp6hkXHHe4cvK8loXhXoDDsDjp2vXYsTVsUOe+jjU
AM0YzbvzpafGTR0WelCIg/zSBbR6olKnuDhsq+Q1WdTkUFoxRtL4juOzdO4E0Uj9jojw4yhD
AEItOhv3JTwleQqL2NVAYFAY/YdN4I0lQRjfIKoQuripFRy7n1aQGcJWvi0tFpGJOO+2cAjq
2mVLHmwqqDWg3H9EGY</vt:lpwstr>
  </property>
  <property fmtid="{D5CDD505-2E9C-101B-9397-08002B2CF9AE}" pid="3" name="_2015_ms_pID_7253431">
    <vt:lpwstr>9PWM84fkWFFvse/54K2Ya4fzQzEksZGhfEfHNZnqCWbT3fVhE1KHDs
bfZI4j5yEGlpqMZD7FWPUsIFX6K486i/rlG+IvuIVIQG4f1XOGP1UcHgNAVQtKWZfBcJ6IgJ
NnEr/IwVdDgEArdSDOFq+cR7GIsJClT7chcIu7gCA/0pf4qhW5o7WfodqXGAAGxD+kb8ht+4
q3k7j3l/s5MUAsR9i2QzCoXRNAbu1jjMXSQ3</vt:lpwstr>
  </property>
  <property fmtid="{D5CDD505-2E9C-101B-9397-08002B2CF9AE}" pid="4" name="_2015_ms_pID_7253432">
    <vt:lpwstr>NCujSY5JIXgz+2K6ZdQl9h4=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1739952075</vt:lpwstr>
  </property>
  <property fmtid="{D5CDD505-2E9C-101B-9397-08002B2CF9AE}" pid="9" name="KSOTemplateDocerSaveRecord">
    <vt:lpwstr>eyJoZGlkIjoiNWFiOWFjNjk0YzQxN2NmYjRhOWE3OThkYmZhYWNmNDQiLCJ1c2VySWQiOiI0MTYxODMzNTEifQ==</vt:lpwstr>
  </property>
  <property fmtid="{D5CDD505-2E9C-101B-9397-08002B2CF9AE}" pid="10" name="KSOProductBuildVer">
    <vt:lpwstr>2052-12.1.0.21915</vt:lpwstr>
  </property>
  <property fmtid="{D5CDD505-2E9C-101B-9397-08002B2CF9AE}" pid="11" name="ICV">
    <vt:lpwstr>D95A48AE997D4AE7A15212745B165CA7_12</vt:lpwstr>
  </property>
</Properties>
</file>